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308E786"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63135A">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3EB91E78"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Administrativo </w:t>
      </w:r>
      <w:r w:rsidR="005466C3" w:rsidRPr="002C7EF3">
        <w:rPr>
          <w:rFonts w:ascii="Arial" w:hAnsi="Arial" w:cs="Arial"/>
          <w:b/>
          <w:bCs/>
          <w:sz w:val="22"/>
          <w:szCs w:val="22"/>
        </w:rPr>
        <w:t xml:space="preserve">nº </w:t>
      </w:r>
      <w:r w:rsidR="002C7EF3" w:rsidRPr="002C7EF3">
        <w:rPr>
          <w:rFonts w:ascii="Arial" w:hAnsi="Arial" w:cs="Arial"/>
          <w:b/>
          <w:bCs/>
          <w:sz w:val="22"/>
          <w:szCs w:val="22"/>
        </w:rPr>
        <w:t>31.588/2023</w:t>
      </w:r>
      <w:r w:rsidR="005466C3" w:rsidRPr="002C7EF3">
        <w:rPr>
          <w:rFonts w:ascii="Arial" w:hAnsi="Arial" w:cs="Arial"/>
          <w:b/>
          <w:bCs/>
          <w:sz w:val="22"/>
          <w:szCs w:val="22"/>
        </w:rPr>
        <w:t xml:space="preserve"> </w:t>
      </w:r>
      <w:r w:rsidRPr="008C13A3">
        <w:rPr>
          <w:rFonts w:ascii="Arial" w:hAnsi="Arial" w:cs="Arial"/>
          <w:sz w:val="22"/>
          <w:szCs w:val="22"/>
        </w:rPr>
        <w:t xml:space="preserve">e em observância às disposições da Lei nº </w:t>
      </w:r>
      <w:r w:rsidR="00F232EF" w:rsidRPr="008C13A3">
        <w:rPr>
          <w:rFonts w:ascii="Arial" w:hAnsi="Arial" w:cs="Arial"/>
          <w:sz w:val="22"/>
          <w:szCs w:val="22"/>
        </w:rPr>
        <w:t xml:space="preserve">14.133, </w:t>
      </w:r>
      <w:r w:rsidR="009872FB" w:rsidRPr="008C13A3">
        <w:rPr>
          <w:rFonts w:ascii="Arial" w:hAnsi="Arial" w:cs="Arial"/>
          <w:sz w:val="22"/>
          <w:szCs w:val="22"/>
        </w:rPr>
        <w:t xml:space="preserve">de 1º de abril </w:t>
      </w:r>
      <w:r w:rsidR="00F232EF" w:rsidRPr="008C13A3">
        <w:rPr>
          <w:rFonts w:ascii="Arial" w:hAnsi="Arial" w:cs="Arial"/>
          <w:sz w:val="22"/>
          <w:szCs w:val="22"/>
        </w:rPr>
        <w:t>de 2021</w:t>
      </w:r>
      <w:r w:rsidR="0050761F" w:rsidRPr="008C13A3">
        <w:rPr>
          <w:rFonts w:ascii="Arial" w:hAnsi="Arial" w:cs="Arial"/>
          <w:sz w:val="22"/>
          <w:szCs w:val="22"/>
        </w:rPr>
        <w:t xml:space="preserve"> </w:t>
      </w:r>
      <w:r w:rsidR="0050761F" w:rsidRPr="008C13A3">
        <w:rPr>
          <w:rFonts w:ascii="Arial" w:hAnsi="Arial" w:cs="Arial"/>
          <w:sz w:val="22"/>
          <w:szCs w:val="22"/>
          <w:lang w:val="pt-PT"/>
        </w:rPr>
        <w:t xml:space="preserve">e </w:t>
      </w:r>
      <w:r w:rsidR="009872FB" w:rsidRPr="008C13A3">
        <w:rPr>
          <w:rFonts w:ascii="Arial" w:hAnsi="Arial" w:cs="Arial"/>
          <w:sz w:val="22"/>
          <w:szCs w:val="22"/>
          <w:lang w:val="pt-PT"/>
        </w:rPr>
        <w:t>demais legislações aplicáveis</w:t>
      </w:r>
      <w:r w:rsidR="006306EF" w:rsidRPr="008C13A3">
        <w:rPr>
          <w:rFonts w:ascii="Arial" w:hAnsi="Arial" w:cs="Arial"/>
          <w:sz w:val="22"/>
          <w:szCs w:val="22"/>
        </w:rPr>
        <w:t>,</w:t>
      </w:r>
      <w:r w:rsidRPr="008C13A3">
        <w:rPr>
          <w:rFonts w:ascii="Arial" w:hAnsi="Arial" w:cs="Arial"/>
          <w:i/>
          <w:sz w:val="22"/>
          <w:szCs w:val="22"/>
        </w:rPr>
        <w:t xml:space="preserve"> </w:t>
      </w:r>
      <w:r w:rsidRPr="008C13A3">
        <w:rPr>
          <w:rFonts w:ascii="Arial" w:hAnsi="Arial" w:cs="Arial"/>
          <w:sz w:val="22"/>
          <w:szCs w:val="22"/>
        </w:rPr>
        <w:t xml:space="preserve">resolvem celebrar o presente Termo de Contrato, decorrente do </w:t>
      </w:r>
      <w:r w:rsidR="005466C3" w:rsidRPr="002C7EF3">
        <w:rPr>
          <w:rFonts w:ascii="Arial" w:hAnsi="Arial" w:cs="Arial"/>
          <w:b/>
          <w:bCs/>
          <w:sz w:val="22"/>
          <w:szCs w:val="22"/>
        </w:rPr>
        <w:t>Pregão Eletrônico</w:t>
      </w:r>
      <w:r w:rsidR="000B23ED" w:rsidRPr="002C7EF3">
        <w:rPr>
          <w:rFonts w:ascii="Arial" w:hAnsi="Arial" w:cs="Arial"/>
          <w:b/>
          <w:bCs/>
          <w:sz w:val="22"/>
          <w:szCs w:val="22"/>
        </w:rPr>
        <w:t xml:space="preserve"> </w:t>
      </w:r>
      <w:r w:rsidR="005466C3" w:rsidRPr="002C7EF3">
        <w:rPr>
          <w:rFonts w:ascii="Arial" w:hAnsi="Arial" w:cs="Arial"/>
          <w:b/>
          <w:bCs/>
          <w:sz w:val="22"/>
          <w:szCs w:val="22"/>
        </w:rPr>
        <w:t xml:space="preserve">nº </w:t>
      </w:r>
      <w:r w:rsidR="002C7EF3" w:rsidRPr="002C7EF3">
        <w:rPr>
          <w:rFonts w:ascii="Arial" w:hAnsi="Arial" w:cs="Arial"/>
          <w:b/>
          <w:bCs/>
          <w:sz w:val="22"/>
          <w:szCs w:val="22"/>
        </w:rPr>
        <w:t>90.013/2024</w:t>
      </w:r>
      <w:r w:rsidRPr="008C13A3">
        <w:rPr>
          <w:rFonts w:ascii="Arial" w:hAnsi="Arial" w:cs="Arial"/>
          <w:sz w:val="22"/>
          <w:szCs w:val="22"/>
        </w:rPr>
        <w:t>, mediante 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3D41F282"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2C7EF3" w:rsidRPr="002C7EF3">
        <w:rPr>
          <w:rFonts w:ascii="Arial" w:eastAsiaTheme="majorEastAsia" w:hAnsi="Arial" w:cs="Arial"/>
          <w:b/>
          <w:bCs/>
          <w:lang w:val="pt-BR" w:eastAsia="pt-BR"/>
        </w:rPr>
        <w:t xml:space="preserve">AQUISIÇÃO, sob demanda, de </w:t>
      </w:r>
      <w:bookmarkStart w:id="3" w:name="__DdeLink__374_1113822487"/>
      <w:r w:rsidR="002C7EF3" w:rsidRPr="002C7EF3">
        <w:rPr>
          <w:rFonts w:ascii="Arial" w:eastAsiaTheme="majorEastAsia" w:hAnsi="Arial" w:cs="Arial"/>
          <w:b/>
          <w:bCs/>
          <w:lang w:val="pt-BR" w:eastAsia="pt-BR"/>
        </w:rPr>
        <w:t>G</w:t>
      </w:r>
      <w:bookmarkEnd w:id="3"/>
      <w:r w:rsidR="002C7EF3" w:rsidRPr="002C7EF3">
        <w:rPr>
          <w:rFonts w:ascii="Arial" w:eastAsiaTheme="majorEastAsia" w:hAnsi="Arial" w:cs="Arial"/>
          <w:b/>
          <w:bCs/>
          <w:lang w:val="pt-BR" w:eastAsia="pt-BR"/>
        </w:rPr>
        <w:t>ÁS GLP EM CILINDRO DE 13KG, para atender as necessidades da Coord. de Saúde Mental / Residências Terapêuticas</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08533C9A" w14:textId="20F73991" w:rsidR="002C7EF3" w:rsidRPr="002C7EF3" w:rsidRDefault="002C7EF3" w:rsidP="002C7EF3">
      <w:pPr>
        <w:pStyle w:val="PargrafodaLista"/>
        <w:numPr>
          <w:ilvl w:val="1"/>
          <w:numId w:val="2"/>
        </w:numPr>
        <w:spacing w:line="323" w:lineRule="atLeast"/>
        <w:ind w:left="0" w:firstLine="0"/>
        <w:jc w:val="both"/>
        <w:rPr>
          <w:rFonts w:ascii="Arial" w:hAnsi="Arial" w:cs="Arial"/>
          <w:bCs/>
          <w:iCs/>
        </w:rPr>
      </w:pPr>
      <w:r w:rsidRPr="002C7EF3">
        <w:rPr>
          <w:rFonts w:ascii="Arial" w:hAnsi="Arial" w:cs="Arial"/>
          <w:bCs/>
          <w:iCs/>
        </w:rPr>
        <w:t>-</w:t>
      </w:r>
      <w:r w:rsidRPr="002C7EF3">
        <w:rPr>
          <w:rFonts w:ascii="Arial" w:eastAsiaTheme="majorEastAsia" w:hAnsi="Arial" w:cs="Arial"/>
          <w:b/>
          <w:bCs/>
          <w:lang w:val="pt-BR" w:eastAsia="pt-BR"/>
        </w:rPr>
        <w:t xml:space="preserve"> </w:t>
      </w:r>
      <w:r w:rsidRPr="002C7EF3">
        <w:rPr>
          <w:rFonts w:ascii="Arial" w:eastAsiaTheme="majorEastAsia" w:hAnsi="Arial" w:cs="Arial"/>
          <w:b/>
          <w:bCs/>
          <w:lang w:val="pt-BR" w:eastAsia="pt-BR"/>
        </w:rPr>
        <w:t>EXECUÇÃO CONTRATUAL</w:t>
      </w:r>
    </w:p>
    <w:p w14:paraId="04DCA3F9" w14:textId="0D7CF383" w:rsidR="002C7EF3" w:rsidRPr="002C7EF3" w:rsidRDefault="002C7EF3" w:rsidP="002C7EF3">
      <w:pPr>
        <w:pStyle w:val="PargrafodaLista"/>
        <w:numPr>
          <w:ilvl w:val="2"/>
          <w:numId w:val="2"/>
        </w:numPr>
        <w:spacing w:line="323" w:lineRule="atLeast"/>
        <w:ind w:left="0" w:firstLine="0"/>
        <w:jc w:val="both"/>
        <w:rPr>
          <w:rFonts w:ascii="Arial" w:hAnsi="Arial" w:cs="Arial"/>
          <w:bCs/>
          <w:iCs/>
        </w:rPr>
      </w:pPr>
      <w:r w:rsidRPr="002C7EF3">
        <w:rPr>
          <w:rFonts w:ascii="Arial" w:hAnsi="Arial" w:cs="Arial"/>
          <w:bCs/>
          <w:iCs/>
        </w:rPr>
        <w:t xml:space="preserve">- </w:t>
      </w:r>
      <w:r w:rsidRPr="002C7EF3">
        <w:rPr>
          <w:rFonts w:ascii="Arial" w:hAnsi="Arial" w:cs="Arial"/>
          <w:bCs/>
          <w:iCs/>
        </w:rPr>
        <w:t>O prazo de entrega dos bens é de 10 (dez) dias corridos, contados a partir do recebimento da nota de empenho, sob demanda, conforme conveniência e necessidade da unidade requisitante;</w:t>
      </w:r>
    </w:p>
    <w:p w14:paraId="3D1B6095" w14:textId="37293EA1" w:rsidR="002C7EF3" w:rsidRPr="002C7EF3" w:rsidRDefault="002C7EF3" w:rsidP="002C7EF3">
      <w:pPr>
        <w:pStyle w:val="PargrafodaLista"/>
        <w:numPr>
          <w:ilvl w:val="2"/>
          <w:numId w:val="2"/>
        </w:numPr>
        <w:spacing w:line="323" w:lineRule="atLeast"/>
        <w:ind w:left="0" w:firstLine="0"/>
        <w:jc w:val="both"/>
        <w:rPr>
          <w:rFonts w:ascii="Arial" w:hAnsi="Arial" w:cs="Arial"/>
          <w:bCs/>
          <w:iCs/>
        </w:rPr>
      </w:pPr>
      <w:r w:rsidRPr="002C7EF3">
        <w:rPr>
          <w:rFonts w:ascii="Arial" w:hAnsi="Arial" w:cs="Arial"/>
          <w:bCs/>
          <w:iCs/>
        </w:rPr>
        <w:t xml:space="preserve">- </w:t>
      </w:r>
      <w:r w:rsidRPr="002C7EF3">
        <w:rPr>
          <w:rFonts w:ascii="Arial" w:hAnsi="Arial" w:cs="Arial"/>
          <w:bCs/>
          <w:iCs/>
        </w:rPr>
        <w:t>A Contratada deverá proceder com a entrega do objeto no local e horário arrolados abaixo, respeitando sempre o período de solicitação da unidade requisitante:</w:t>
      </w:r>
    </w:p>
    <w:p w14:paraId="7CD5597E" w14:textId="3F0B1B03" w:rsidR="002C7EF3" w:rsidRPr="002C7EF3" w:rsidRDefault="002C7EF3" w:rsidP="002C7EF3">
      <w:pPr>
        <w:pStyle w:val="PargrafodaLista"/>
        <w:numPr>
          <w:ilvl w:val="3"/>
          <w:numId w:val="2"/>
        </w:numPr>
        <w:spacing w:line="323" w:lineRule="atLeast"/>
        <w:ind w:left="0" w:firstLine="0"/>
        <w:jc w:val="both"/>
        <w:rPr>
          <w:rFonts w:ascii="Arial" w:hAnsi="Arial" w:cs="Arial"/>
          <w:bCs/>
          <w:iCs/>
        </w:rPr>
      </w:pPr>
      <w:bookmarkStart w:id="4" w:name="__DdeLink__8250_2219465512"/>
      <w:r w:rsidRPr="002C7EF3">
        <w:rPr>
          <w:rFonts w:ascii="Arial" w:hAnsi="Arial" w:cs="Arial"/>
          <w:bCs/>
          <w:iCs/>
        </w:rPr>
        <w:t xml:space="preserve">- </w:t>
      </w:r>
      <w:r w:rsidRPr="002C7EF3">
        <w:rPr>
          <w:rFonts w:ascii="Arial" w:hAnsi="Arial" w:cs="Arial"/>
          <w:bCs/>
          <w:iCs/>
        </w:rPr>
        <w:t>Residência Terapêutica 2: Rua Sinder, nº 75 – Chácara do Paraíso – Nova Friburgo/RJ  – De segunda a sexta-feira, no horário de 08:00h às 17:00h</w:t>
      </w:r>
      <w:bookmarkEnd w:id="4"/>
      <w:r w:rsidRPr="002C7EF3">
        <w:rPr>
          <w:rFonts w:ascii="Arial" w:hAnsi="Arial" w:cs="Arial"/>
          <w:bCs/>
          <w:iCs/>
        </w:rPr>
        <w:t>;</w:t>
      </w:r>
    </w:p>
    <w:p w14:paraId="1B7F47F0" w14:textId="5A5BB66D" w:rsidR="002C7EF3" w:rsidRPr="002C7EF3" w:rsidRDefault="002C7EF3" w:rsidP="002C7EF3">
      <w:pPr>
        <w:pStyle w:val="PargrafodaLista"/>
        <w:numPr>
          <w:ilvl w:val="2"/>
          <w:numId w:val="2"/>
        </w:numPr>
        <w:spacing w:line="323" w:lineRule="atLeast"/>
        <w:ind w:left="0" w:firstLine="0"/>
        <w:jc w:val="both"/>
        <w:rPr>
          <w:rFonts w:ascii="Arial" w:hAnsi="Arial" w:cs="Arial"/>
          <w:bCs/>
          <w:iCs/>
        </w:rPr>
      </w:pPr>
      <w:r w:rsidRPr="002C7EF3">
        <w:rPr>
          <w:rFonts w:ascii="Arial" w:hAnsi="Arial" w:cs="Arial"/>
          <w:bCs/>
          <w:iCs/>
        </w:rPr>
        <w:t xml:space="preserve">- </w:t>
      </w:r>
      <w:r w:rsidRPr="002C7EF3">
        <w:rPr>
          <w:rFonts w:ascii="Arial" w:hAnsi="Arial" w:cs="Arial"/>
          <w:bCs/>
          <w:iCs/>
        </w:rPr>
        <w:t>Caso não seja possível a entrega na data assinalada, a empresa deverá comunicar as razões respectivas com pelo menos 3 (três) dias de antecedência para que qualquer pleito de prorrogação de prazo seja analisado, ressalvadas situações de caso fortuito e força maior;</w:t>
      </w:r>
    </w:p>
    <w:p w14:paraId="3BC0340F" w14:textId="70913074" w:rsidR="002C7EF3" w:rsidRPr="002C7EF3" w:rsidRDefault="002C7EF3" w:rsidP="002C7EF3">
      <w:pPr>
        <w:pStyle w:val="PargrafodaLista"/>
        <w:numPr>
          <w:ilvl w:val="2"/>
          <w:numId w:val="2"/>
        </w:numPr>
        <w:spacing w:line="323" w:lineRule="atLeast"/>
        <w:ind w:left="0" w:firstLine="0"/>
        <w:jc w:val="both"/>
        <w:rPr>
          <w:rFonts w:ascii="Arial" w:hAnsi="Arial" w:cs="Arial"/>
          <w:bCs/>
          <w:iCs/>
        </w:rPr>
      </w:pPr>
      <w:r w:rsidRPr="002C7EF3">
        <w:rPr>
          <w:rFonts w:ascii="Arial" w:hAnsi="Arial" w:cs="Arial"/>
          <w:bCs/>
          <w:iCs/>
        </w:rPr>
        <w:t xml:space="preserve">- </w:t>
      </w:r>
      <w:r w:rsidRPr="002C7EF3">
        <w:rPr>
          <w:rFonts w:ascii="Arial" w:hAnsi="Arial" w:cs="Arial"/>
          <w:bCs/>
          <w:iCs/>
        </w:rPr>
        <w:t>Os bens serão recebidos provisoriamente, de forma sumária, no prazo de 2 (dois) dias úteis, pelo(a) responsável pelo acompanhamento e fiscalização do contrato, para efeito de posterior verificação de sua conformidade com as especificações constantes neste Termo de Referência e na proposta;</w:t>
      </w:r>
    </w:p>
    <w:p w14:paraId="4B79BBD4" w14:textId="71AA1DE0" w:rsidR="002C7EF3" w:rsidRPr="002C7EF3" w:rsidRDefault="002C7EF3" w:rsidP="002C7EF3">
      <w:pPr>
        <w:pStyle w:val="PargrafodaLista"/>
        <w:numPr>
          <w:ilvl w:val="2"/>
          <w:numId w:val="2"/>
        </w:numPr>
        <w:spacing w:line="323" w:lineRule="atLeast"/>
        <w:ind w:left="0" w:firstLine="0"/>
        <w:jc w:val="both"/>
        <w:rPr>
          <w:rFonts w:ascii="Arial" w:hAnsi="Arial" w:cs="Arial"/>
          <w:bCs/>
          <w:iCs/>
        </w:rPr>
      </w:pPr>
      <w:r w:rsidRPr="002C7EF3">
        <w:rPr>
          <w:rFonts w:ascii="Arial" w:hAnsi="Arial" w:cs="Arial"/>
          <w:bCs/>
          <w:iCs/>
        </w:rPr>
        <w:t xml:space="preserve">- </w:t>
      </w:r>
      <w:r w:rsidRPr="002C7EF3">
        <w:rPr>
          <w:rFonts w:ascii="Arial" w:hAnsi="Arial" w:cs="Arial"/>
          <w:bCs/>
          <w:iCs/>
        </w:rPr>
        <w:t>Substituir, no prazo máximo de até 2 (dois) dias, a contar da data da notificação, os produtos entregues, caso se apresentem impróprios para consumo;</w:t>
      </w:r>
    </w:p>
    <w:p w14:paraId="4023A01C" w14:textId="037F13AF" w:rsidR="002C7EF3" w:rsidRPr="002C7EF3" w:rsidRDefault="002C7EF3" w:rsidP="002C7EF3">
      <w:pPr>
        <w:pStyle w:val="PargrafodaLista"/>
        <w:numPr>
          <w:ilvl w:val="2"/>
          <w:numId w:val="2"/>
        </w:numPr>
        <w:spacing w:line="323" w:lineRule="atLeast"/>
        <w:ind w:left="0" w:firstLine="0"/>
        <w:jc w:val="both"/>
        <w:rPr>
          <w:rFonts w:ascii="Arial" w:hAnsi="Arial" w:cs="Arial"/>
          <w:bCs/>
          <w:iCs/>
        </w:rPr>
      </w:pPr>
      <w:r w:rsidRPr="002C7EF3">
        <w:rPr>
          <w:rFonts w:ascii="Arial" w:hAnsi="Arial" w:cs="Arial"/>
          <w:bCs/>
          <w:iCs/>
        </w:rPr>
        <w:t xml:space="preserve">- </w:t>
      </w:r>
      <w:r w:rsidRPr="002C7EF3">
        <w:rPr>
          <w:rFonts w:ascii="Arial" w:hAnsi="Arial" w:cs="Arial"/>
          <w:bCs/>
          <w:iCs/>
        </w:rPr>
        <w:t xml:space="preserve">Os bens poderão ser rejeitados, no todo ou em parte, quando em desacordo com as </w:t>
      </w:r>
      <w:r w:rsidRPr="002C7EF3">
        <w:rPr>
          <w:rFonts w:ascii="Arial" w:hAnsi="Arial" w:cs="Arial"/>
          <w:bCs/>
          <w:iCs/>
        </w:rPr>
        <w:lastRenderedPageBreak/>
        <w:t>especificações constantes neste Termo de Referência e na proposta, devendo ser substituídos no prazo de 3 (três) dias, a contar da notificação da contratada, às suas custas, sem prejuízo da aplicação das penalidades;</w:t>
      </w:r>
    </w:p>
    <w:p w14:paraId="0255B2CC" w14:textId="10EEBB06" w:rsidR="002C7EF3" w:rsidRPr="002C7EF3" w:rsidRDefault="002C7EF3" w:rsidP="002C7EF3">
      <w:pPr>
        <w:pStyle w:val="PargrafodaLista"/>
        <w:numPr>
          <w:ilvl w:val="2"/>
          <w:numId w:val="2"/>
        </w:numPr>
        <w:spacing w:line="323" w:lineRule="atLeast"/>
        <w:ind w:left="0" w:firstLine="0"/>
        <w:jc w:val="both"/>
        <w:rPr>
          <w:rFonts w:ascii="Arial" w:hAnsi="Arial" w:cs="Arial"/>
          <w:bCs/>
          <w:iCs/>
        </w:rPr>
      </w:pPr>
      <w:r w:rsidRPr="002C7EF3">
        <w:rPr>
          <w:rFonts w:ascii="Arial" w:hAnsi="Arial" w:cs="Arial"/>
          <w:bCs/>
          <w:iCs/>
        </w:rPr>
        <w:t xml:space="preserve">- </w:t>
      </w:r>
      <w:r w:rsidRPr="002C7EF3">
        <w:rPr>
          <w:rFonts w:ascii="Arial" w:hAnsi="Arial" w:cs="Arial"/>
          <w:bCs/>
          <w:iCs/>
        </w:rPr>
        <w:t>Os bens serão recebidos definitivamente no prazo de 2 (dois) dias, contados do recebimento provisório, após a verificação da qualidade e quantidade do material e consequente aceitação mediante termo detalhado;</w:t>
      </w:r>
    </w:p>
    <w:p w14:paraId="5005458F" w14:textId="5996E8A9" w:rsidR="002C7EF3" w:rsidRPr="002C7EF3" w:rsidRDefault="002C7EF3" w:rsidP="002C7EF3">
      <w:pPr>
        <w:pStyle w:val="PargrafodaLista"/>
        <w:numPr>
          <w:ilvl w:val="2"/>
          <w:numId w:val="2"/>
        </w:numPr>
        <w:spacing w:line="323" w:lineRule="atLeast"/>
        <w:ind w:left="0" w:firstLine="0"/>
        <w:jc w:val="both"/>
        <w:rPr>
          <w:rFonts w:ascii="Arial" w:hAnsi="Arial" w:cs="Arial"/>
          <w:bCs/>
          <w:iCs/>
        </w:rPr>
      </w:pPr>
      <w:r w:rsidRPr="002C7EF3">
        <w:rPr>
          <w:rFonts w:ascii="Arial" w:hAnsi="Arial" w:cs="Arial"/>
          <w:bCs/>
          <w:iCs/>
        </w:rPr>
        <w:t xml:space="preserve">- </w:t>
      </w:r>
      <w:r w:rsidRPr="002C7EF3">
        <w:rPr>
          <w:rFonts w:ascii="Arial" w:hAnsi="Arial" w:cs="Arial"/>
          <w:bCs/>
          <w:iCs/>
        </w:rPr>
        <w:t>Na hipótese de a verificação a que se refere o subitem anterior não ser procedida dentro do prazo fixado, reputar-se-á como realizada, consumando-se o recebimento definitivo no dia do esgotamento do prazo;</w:t>
      </w:r>
    </w:p>
    <w:p w14:paraId="421199FA" w14:textId="199E1052" w:rsidR="002C7EF3" w:rsidRPr="002C7EF3" w:rsidRDefault="002C7EF3" w:rsidP="002C7EF3">
      <w:pPr>
        <w:pStyle w:val="PargrafodaLista"/>
        <w:numPr>
          <w:ilvl w:val="2"/>
          <w:numId w:val="2"/>
        </w:numPr>
        <w:spacing w:line="323" w:lineRule="atLeast"/>
        <w:ind w:left="0" w:firstLine="0"/>
        <w:jc w:val="both"/>
        <w:rPr>
          <w:rFonts w:ascii="Arial" w:hAnsi="Arial" w:cs="Arial"/>
          <w:bCs/>
          <w:iCs/>
        </w:rPr>
      </w:pPr>
      <w:r w:rsidRPr="002C7EF3">
        <w:rPr>
          <w:rFonts w:ascii="Arial" w:hAnsi="Arial" w:cs="Arial"/>
          <w:bCs/>
          <w:iCs/>
        </w:rPr>
        <w:t xml:space="preserve">- </w:t>
      </w:r>
      <w:r w:rsidRPr="002C7EF3">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7616B877" w14:textId="70DC4B52" w:rsidR="002C7EF3" w:rsidRPr="002C7EF3" w:rsidRDefault="002C7EF3" w:rsidP="002C7EF3">
      <w:pPr>
        <w:pStyle w:val="PargrafodaLista"/>
        <w:numPr>
          <w:ilvl w:val="1"/>
          <w:numId w:val="2"/>
        </w:numPr>
        <w:spacing w:line="323" w:lineRule="atLeast"/>
        <w:ind w:left="0" w:firstLine="0"/>
        <w:jc w:val="both"/>
        <w:rPr>
          <w:rFonts w:ascii="Arial" w:hAnsi="Arial" w:cs="Arial"/>
          <w:b/>
          <w:iCs/>
        </w:rPr>
      </w:pPr>
      <w:r w:rsidRPr="002C7EF3">
        <w:rPr>
          <w:rFonts w:ascii="Arial" w:hAnsi="Arial" w:cs="Arial"/>
          <w:b/>
          <w:iCs/>
        </w:rPr>
        <w:t xml:space="preserve"> - </w:t>
      </w:r>
      <w:r w:rsidRPr="002C7EF3">
        <w:rPr>
          <w:rFonts w:ascii="Arial" w:hAnsi="Arial" w:cs="Arial"/>
          <w:b/>
          <w:iCs/>
        </w:rPr>
        <w:t>GESTÃO DO CONTRATO</w:t>
      </w:r>
    </w:p>
    <w:p w14:paraId="4C196A0A" w14:textId="0299843F" w:rsidR="002C7EF3" w:rsidRPr="002C7EF3" w:rsidRDefault="002C7EF3" w:rsidP="002C7EF3">
      <w:pPr>
        <w:pStyle w:val="PargrafodaLista"/>
        <w:numPr>
          <w:ilvl w:val="2"/>
          <w:numId w:val="2"/>
        </w:numPr>
        <w:spacing w:line="323" w:lineRule="atLeast"/>
        <w:ind w:left="0" w:firstLine="0"/>
        <w:jc w:val="both"/>
        <w:rPr>
          <w:rFonts w:ascii="Arial" w:hAnsi="Arial" w:cs="Arial"/>
          <w:bCs/>
          <w:iCs/>
        </w:rPr>
      </w:pPr>
      <w:r w:rsidRPr="002C7EF3">
        <w:rPr>
          <w:rFonts w:ascii="Arial" w:hAnsi="Arial" w:cs="Arial"/>
          <w:bCs/>
          <w:iCs/>
        </w:rPr>
        <w:t xml:space="preserve">- </w:t>
      </w:r>
      <w:r w:rsidRPr="002C7EF3">
        <w:rPr>
          <w:rFonts w:ascii="Arial" w:hAnsi="Arial" w:cs="Arial"/>
          <w:bCs/>
          <w:iCs/>
        </w:rPr>
        <w:t>O contrato deverá ser executado fielmente pelas partes, de acordo com as cláusulas avençadas e as normas da Lei nº 14.133, de 2021, e cada parte responderá pelas consequências de sua inexecução total ou parcial (Lei nº 14.133/2021, art. 115, caput);</w:t>
      </w:r>
    </w:p>
    <w:p w14:paraId="2B17933E" w14:textId="41B84216" w:rsidR="002C7EF3" w:rsidRPr="002C7EF3" w:rsidRDefault="002C7EF3" w:rsidP="002C7EF3">
      <w:pPr>
        <w:pStyle w:val="PargrafodaLista"/>
        <w:numPr>
          <w:ilvl w:val="2"/>
          <w:numId w:val="2"/>
        </w:numPr>
        <w:spacing w:line="323" w:lineRule="atLeast"/>
        <w:ind w:left="0" w:firstLine="0"/>
        <w:jc w:val="both"/>
        <w:rPr>
          <w:rFonts w:ascii="Arial" w:hAnsi="Arial" w:cs="Arial"/>
          <w:bCs/>
          <w:iCs/>
        </w:rPr>
      </w:pPr>
      <w:r w:rsidRPr="002C7EF3">
        <w:rPr>
          <w:rFonts w:ascii="Arial" w:hAnsi="Arial" w:cs="Arial"/>
          <w:bCs/>
          <w:iCs/>
        </w:rPr>
        <w:t xml:space="preserve">- </w:t>
      </w:r>
      <w:r w:rsidRPr="002C7EF3">
        <w:rPr>
          <w:rFonts w:ascii="Arial" w:hAnsi="Arial" w:cs="Arial"/>
          <w:bCs/>
          <w:iCs/>
        </w:rPr>
        <w:t>Em caso de impedimento, ordem de paralisação ou suspensão do contrato, o cronograma de execução será prorrogado automaticamente pelo tempo correspondente, anotadas tais circunstâncias mediante simples apostila (Lei nº 14.133/2021, art. 115, §5º);</w:t>
      </w:r>
    </w:p>
    <w:p w14:paraId="20F55518" w14:textId="62A9CF08" w:rsidR="002C7EF3" w:rsidRPr="002C7EF3" w:rsidRDefault="002C7EF3" w:rsidP="002C7EF3">
      <w:pPr>
        <w:pStyle w:val="PargrafodaLista"/>
        <w:numPr>
          <w:ilvl w:val="2"/>
          <w:numId w:val="2"/>
        </w:numPr>
        <w:spacing w:line="323" w:lineRule="atLeast"/>
        <w:ind w:left="0" w:firstLine="0"/>
        <w:jc w:val="both"/>
        <w:rPr>
          <w:rFonts w:ascii="Arial" w:hAnsi="Arial" w:cs="Arial"/>
          <w:bCs/>
          <w:iCs/>
        </w:rPr>
      </w:pPr>
      <w:r w:rsidRPr="002C7EF3">
        <w:rPr>
          <w:rFonts w:ascii="Arial" w:hAnsi="Arial" w:cs="Arial"/>
          <w:bCs/>
          <w:iCs/>
        </w:rPr>
        <w:t xml:space="preserve">- </w:t>
      </w:r>
      <w:r w:rsidRPr="002C7EF3">
        <w:rPr>
          <w:rFonts w:ascii="Arial" w:hAnsi="Arial" w:cs="Arial"/>
          <w:bCs/>
          <w:iCs/>
        </w:rPr>
        <w:t>A execução do contrato deverá ser acompanhada e fiscalizada pelo(s) fiscal(is) do contrato, ou pelos respectivos substitutos (Lei nº 14.133/2021, art. 117, caput);</w:t>
      </w:r>
    </w:p>
    <w:p w14:paraId="7ECE4864" w14:textId="77777777" w:rsidR="002C7EF3" w:rsidRPr="002C7EF3" w:rsidRDefault="002C7EF3" w:rsidP="002C7EF3">
      <w:pPr>
        <w:pStyle w:val="PargrafodaLista"/>
        <w:spacing w:line="323" w:lineRule="atLeast"/>
        <w:ind w:left="862"/>
        <w:jc w:val="both"/>
        <w:rPr>
          <w:rFonts w:cs="Calibri"/>
        </w:rPr>
      </w:pPr>
    </w:p>
    <w:tbl>
      <w:tblPr>
        <w:tblW w:w="8973" w:type="dxa"/>
        <w:tblInd w:w="9" w:type="dxa"/>
        <w:tblBorders>
          <w:top w:val="single" w:sz="4" w:space="0" w:color="000000"/>
          <w:left w:val="single" w:sz="4" w:space="0" w:color="000000"/>
          <w:bottom w:val="single" w:sz="4" w:space="0" w:color="000000"/>
          <w:insideH w:val="single" w:sz="4" w:space="0" w:color="000000"/>
        </w:tblBorders>
        <w:tblCellMar>
          <w:top w:w="55" w:type="dxa"/>
          <w:left w:w="55" w:type="dxa"/>
          <w:bottom w:w="55" w:type="dxa"/>
          <w:right w:w="55" w:type="dxa"/>
        </w:tblCellMar>
        <w:tblLook w:val="04A0" w:firstRow="1" w:lastRow="0" w:firstColumn="1" w:lastColumn="0" w:noHBand="0" w:noVBand="1"/>
      </w:tblPr>
      <w:tblGrid>
        <w:gridCol w:w="4586"/>
        <w:gridCol w:w="2097"/>
        <w:gridCol w:w="2290"/>
      </w:tblGrid>
      <w:tr w:rsidR="002C7EF3" w14:paraId="5E6E1F5A" w14:textId="77777777" w:rsidTr="002A2FA6">
        <w:trPr>
          <w:trHeight w:val="630"/>
        </w:trPr>
        <w:tc>
          <w:tcPr>
            <w:tcW w:w="4586" w:type="dxa"/>
            <w:tcBorders>
              <w:top w:val="single" w:sz="4" w:space="0" w:color="000000"/>
              <w:left w:val="single" w:sz="4" w:space="0" w:color="000000"/>
              <w:bottom w:val="single" w:sz="4" w:space="0" w:color="000000"/>
            </w:tcBorders>
            <w:shd w:val="clear" w:color="auto" w:fill="auto"/>
            <w:vAlign w:val="center"/>
          </w:tcPr>
          <w:p w14:paraId="4ABC19E4" w14:textId="77777777" w:rsidR="002C7EF3" w:rsidRDefault="002C7EF3" w:rsidP="002A2FA6">
            <w:pPr>
              <w:jc w:val="center"/>
              <w:rPr>
                <w:rFonts w:ascii="Calibri" w:hAnsi="Calibri" w:cs="Calibri"/>
              </w:rPr>
            </w:pPr>
            <w:r>
              <w:rPr>
                <w:b/>
                <w:bCs/>
              </w:rPr>
              <w:t>SERVIDOR</w:t>
            </w:r>
          </w:p>
        </w:tc>
        <w:tc>
          <w:tcPr>
            <w:tcW w:w="2097" w:type="dxa"/>
            <w:tcBorders>
              <w:top w:val="single" w:sz="4" w:space="0" w:color="000000"/>
              <w:left w:val="single" w:sz="4" w:space="0" w:color="000000"/>
              <w:bottom w:val="single" w:sz="4" w:space="0" w:color="000000"/>
            </w:tcBorders>
            <w:shd w:val="clear" w:color="auto" w:fill="auto"/>
            <w:vAlign w:val="center"/>
          </w:tcPr>
          <w:p w14:paraId="2D3A1985" w14:textId="77777777" w:rsidR="002C7EF3" w:rsidRDefault="002C7EF3" w:rsidP="002A2FA6">
            <w:pPr>
              <w:jc w:val="center"/>
              <w:rPr>
                <w:rFonts w:ascii="Calibri" w:hAnsi="Calibri" w:cs="Calibri"/>
              </w:rPr>
            </w:pPr>
            <w:r>
              <w:rPr>
                <w:b/>
                <w:bCs/>
              </w:rPr>
              <w:t>MATRÍCULA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1C70E" w14:textId="77777777" w:rsidR="002C7EF3" w:rsidRDefault="002C7EF3" w:rsidP="002A2FA6">
            <w:pPr>
              <w:jc w:val="center"/>
              <w:rPr>
                <w:rFonts w:ascii="Calibri" w:hAnsi="Calibri" w:cs="Calibri"/>
              </w:rPr>
            </w:pPr>
            <w:r>
              <w:rPr>
                <w:b/>
                <w:bCs/>
              </w:rPr>
              <w:t>DESIGNAÇÃO</w:t>
            </w:r>
          </w:p>
        </w:tc>
      </w:tr>
      <w:tr w:rsidR="002C7EF3" w14:paraId="6F07F9A2" w14:textId="77777777" w:rsidTr="002A2FA6">
        <w:trPr>
          <w:trHeight w:val="510"/>
        </w:trPr>
        <w:tc>
          <w:tcPr>
            <w:tcW w:w="4586" w:type="dxa"/>
            <w:tcBorders>
              <w:top w:val="single" w:sz="4" w:space="0" w:color="000000"/>
              <w:left w:val="single" w:sz="4" w:space="0" w:color="000000"/>
              <w:bottom w:val="single" w:sz="4" w:space="0" w:color="000000"/>
            </w:tcBorders>
            <w:shd w:val="clear" w:color="auto" w:fill="auto"/>
            <w:vAlign w:val="center"/>
          </w:tcPr>
          <w:p w14:paraId="41B5B389" w14:textId="77777777" w:rsidR="002C7EF3" w:rsidRDefault="002C7EF3" w:rsidP="002A2FA6">
            <w:pPr>
              <w:jc w:val="center"/>
            </w:pPr>
            <w:r>
              <w:t>Camila da Motta Moreira Estanislau</w:t>
            </w:r>
          </w:p>
        </w:tc>
        <w:tc>
          <w:tcPr>
            <w:tcW w:w="2097" w:type="dxa"/>
            <w:tcBorders>
              <w:top w:val="single" w:sz="4" w:space="0" w:color="000000"/>
              <w:left w:val="single" w:sz="4" w:space="0" w:color="000000"/>
              <w:bottom w:val="single" w:sz="4" w:space="0" w:color="000000"/>
            </w:tcBorders>
            <w:shd w:val="clear" w:color="auto" w:fill="auto"/>
            <w:vAlign w:val="center"/>
          </w:tcPr>
          <w:p w14:paraId="72B56190" w14:textId="77777777" w:rsidR="002C7EF3" w:rsidRDefault="002C7EF3" w:rsidP="002A2FA6">
            <w:pPr>
              <w:jc w:val="center"/>
            </w:pPr>
            <w:r>
              <w:t>195.078</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CC680" w14:textId="77777777" w:rsidR="002C7EF3" w:rsidRDefault="002C7EF3" w:rsidP="002A2FA6">
            <w:pPr>
              <w:jc w:val="center"/>
              <w:rPr>
                <w:color w:val="CE181E"/>
              </w:rPr>
            </w:pPr>
            <w:r>
              <w:t>Superior Imediato</w:t>
            </w:r>
          </w:p>
        </w:tc>
      </w:tr>
      <w:tr w:rsidR="002C7EF3" w14:paraId="188344BF" w14:textId="77777777" w:rsidTr="002A2FA6">
        <w:trPr>
          <w:trHeight w:val="510"/>
        </w:trPr>
        <w:tc>
          <w:tcPr>
            <w:tcW w:w="4586" w:type="dxa"/>
            <w:tcBorders>
              <w:top w:val="single" w:sz="4" w:space="0" w:color="000000"/>
              <w:left w:val="single" w:sz="4" w:space="0" w:color="000000"/>
              <w:bottom w:val="single" w:sz="4" w:space="0" w:color="000000"/>
            </w:tcBorders>
            <w:shd w:val="clear" w:color="auto" w:fill="auto"/>
            <w:vAlign w:val="center"/>
          </w:tcPr>
          <w:p w14:paraId="2000B397" w14:textId="77777777" w:rsidR="002C7EF3" w:rsidRDefault="002C7EF3" w:rsidP="002A2FA6">
            <w:pPr>
              <w:jc w:val="center"/>
            </w:pPr>
            <w:r>
              <w:t>Fátima Coimbra Conceição Lopes</w:t>
            </w:r>
          </w:p>
        </w:tc>
        <w:tc>
          <w:tcPr>
            <w:tcW w:w="2097" w:type="dxa"/>
            <w:tcBorders>
              <w:top w:val="single" w:sz="4" w:space="0" w:color="000000"/>
              <w:left w:val="single" w:sz="4" w:space="0" w:color="000000"/>
              <w:bottom w:val="single" w:sz="4" w:space="0" w:color="000000"/>
            </w:tcBorders>
            <w:shd w:val="clear" w:color="auto" w:fill="auto"/>
            <w:vAlign w:val="center"/>
          </w:tcPr>
          <w:p w14:paraId="55F66585" w14:textId="77777777" w:rsidR="002C7EF3" w:rsidRDefault="002C7EF3" w:rsidP="002A2FA6">
            <w:pPr>
              <w:jc w:val="center"/>
            </w:pPr>
            <w:r>
              <w:t>190.225</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18BF6" w14:textId="77777777" w:rsidR="002C7EF3" w:rsidRDefault="002C7EF3" w:rsidP="002A2FA6">
            <w:pPr>
              <w:jc w:val="center"/>
              <w:rPr>
                <w:color w:val="CE181E"/>
              </w:rPr>
            </w:pPr>
            <w:r>
              <w:t>Fiscal Titular</w:t>
            </w:r>
          </w:p>
        </w:tc>
      </w:tr>
      <w:tr w:rsidR="002C7EF3" w14:paraId="4D48F87F" w14:textId="77777777" w:rsidTr="002A2FA6">
        <w:trPr>
          <w:trHeight w:val="510"/>
        </w:trPr>
        <w:tc>
          <w:tcPr>
            <w:tcW w:w="4586" w:type="dxa"/>
            <w:tcBorders>
              <w:top w:val="single" w:sz="4" w:space="0" w:color="000000"/>
              <w:left w:val="single" w:sz="4" w:space="0" w:color="000000"/>
              <w:bottom w:val="single" w:sz="4" w:space="0" w:color="000000"/>
            </w:tcBorders>
            <w:shd w:val="clear" w:color="auto" w:fill="auto"/>
            <w:vAlign w:val="center"/>
          </w:tcPr>
          <w:p w14:paraId="7EF107D5" w14:textId="77777777" w:rsidR="002C7EF3" w:rsidRDefault="002C7EF3" w:rsidP="002A2FA6">
            <w:pPr>
              <w:jc w:val="center"/>
            </w:pPr>
            <w:r>
              <w:t>Priscila Ferreira Gama de Moraes</w:t>
            </w:r>
          </w:p>
        </w:tc>
        <w:tc>
          <w:tcPr>
            <w:tcW w:w="2097" w:type="dxa"/>
            <w:tcBorders>
              <w:top w:val="single" w:sz="4" w:space="0" w:color="000000"/>
              <w:left w:val="single" w:sz="4" w:space="0" w:color="000000"/>
              <w:bottom w:val="single" w:sz="4" w:space="0" w:color="000000"/>
            </w:tcBorders>
            <w:shd w:val="clear" w:color="auto" w:fill="auto"/>
            <w:vAlign w:val="center"/>
          </w:tcPr>
          <w:p w14:paraId="7FC67C46" w14:textId="77777777" w:rsidR="002C7EF3" w:rsidRDefault="002C7EF3" w:rsidP="002A2FA6">
            <w:pPr>
              <w:jc w:val="center"/>
            </w:pPr>
            <w:r>
              <w:t>117.228</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A7A0B" w14:textId="77777777" w:rsidR="002C7EF3" w:rsidRDefault="002C7EF3" w:rsidP="002A2FA6">
            <w:pPr>
              <w:jc w:val="center"/>
              <w:rPr>
                <w:color w:val="CE181E"/>
              </w:rPr>
            </w:pPr>
            <w:r>
              <w:t>Fiscal Substituto</w:t>
            </w:r>
          </w:p>
        </w:tc>
      </w:tr>
      <w:tr w:rsidR="002C7EF3" w14:paraId="1A732304" w14:textId="77777777" w:rsidTr="002A2FA6">
        <w:trPr>
          <w:trHeight w:val="510"/>
        </w:trPr>
        <w:tc>
          <w:tcPr>
            <w:tcW w:w="4586" w:type="dxa"/>
            <w:tcBorders>
              <w:top w:val="single" w:sz="4" w:space="0" w:color="000000"/>
              <w:left w:val="single" w:sz="4" w:space="0" w:color="000000"/>
              <w:bottom w:val="single" w:sz="4" w:space="0" w:color="000000"/>
            </w:tcBorders>
            <w:shd w:val="clear" w:color="auto" w:fill="auto"/>
            <w:vAlign w:val="center"/>
          </w:tcPr>
          <w:p w14:paraId="03720DC3" w14:textId="77777777" w:rsidR="002C7EF3" w:rsidRDefault="002C7EF3" w:rsidP="002A2FA6">
            <w:pPr>
              <w:jc w:val="center"/>
            </w:pPr>
            <w:r>
              <w:t>Igor Faria de Jesus</w:t>
            </w:r>
          </w:p>
        </w:tc>
        <w:tc>
          <w:tcPr>
            <w:tcW w:w="2097" w:type="dxa"/>
            <w:tcBorders>
              <w:top w:val="single" w:sz="4" w:space="0" w:color="000000"/>
              <w:left w:val="single" w:sz="4" w:space="0" w:color="000000"/>
              <w:bottom w:val="single" w:sz="4" w:space="0" w:color="000000"/>
            </w:tcBorders>
            <w:shd w:val="clear" w:color="auto" w:fill="auto"/>
            <w:vAlign w:val="center"/>
          </w:tcPr>
          <w:p w14:paraId="49869B5A" w14:textId="77777777" w:rsidR="002C7EF3" w:rsidRDefault="002C7EF3" w:rsidP="002A2FA6">
            <w:pPr>
              <w:jc w:val="center"/>
            </w:pPr>
            <w:r>
              <w:t>063.036</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2974C" w14:textId="77777777" w:rsidR="002C7EF3" w:rsidRDefault="002C7EF3" w:rsidP="002A2FA6">
            <w:pPr>
              <w:jc w:val="center"/>
            </w:pPr>
            <w:r>
              <w:t>Gestor Titular</w:t>
            </w:r>
          </w:p>
        </w:tc>
      </w:tr>
      <w:tr w:rsidR="002C7EF3" w14:paraId="3D98289D" w14:textId="77777777" w:rsidTr="002A2FA6">
        <w:trPr>
          <w:trHeight w:val="510"/>
        </w:trPr>
        <w:tc>
          <w:tcPr>
            <w:tcW w:w="4586" w:type="dxa"/>
            <w:tcBorders>
              <w:top w:val="single" w:sz="4" w:space="0" w:color="000000"/>
              <w:left w:val="single" w:sz="4" w:space="0" w:color="000000"/>
              <w:bottom w:val="single" w:sz="4" w:space="0" w:color="000000"/>
            </w:tcBorders>
            <w:shd w:val="clear" w:color="auto" w:fill="auto"/>
            <w:vAlign w:val="center"/>
          </w:tcPr>
          <w:p w14:paraId="4E131337" w14:textId="77777777" w:rsidR="002C7EF3" w:rsidRDefault="002C7EF3" w:rsidP="002A2FA6">
            <w:pPr>
              <w:jc w:val="center"/>
            </w:pPr>
            <w:r>
              <w:t>Hanna de Paula Delatorre Costa</w:t>
            </w:r>
          </w:p>
        </w:tc>
        <w:tc>
          <w:tcPr>
            <w:tcW w:w="2097" w:type="dxa"/>
            <w:tcBorders>
              <w:top w:val="single" w:sz="4" w:space="0" w:color="000000"/>
              <w:left w:val="single" w:sz="4" w:space="0" w:color="000000"/>
              <w:bottom w:val="single" w:sz="4" w:space="0" w:color="000000"/>
            </w:tcBorders>
            <w:shd w:val="clear" w:color="auto" w:fill="auto"/>
            <w:vAlign w:val="center"/>
          </w:tcPr>
          <w:p w14:paraId="4CD4F8C0" w14:textId="77777777" w:rsidR="002C7EF3" w:rsidRDefault="002C7EF3" w:rsidP="002A2FA6">
            <w:pPr>
              <w:jc w:val="center"/>
            </w:pPr>
            <w:r>
              <w:t>063.414</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7BA70" w14:textId="77777777" w:rsidR="002C7EF3" w:rsidRDefault="002C7EF3" w:rsidP="002A2FA6">
            <w:pPr>
              <w:jc w:val="center"/>
            </w:pPr>
            <w:r>
              <w:t>Gestora Substituta</w:t>
            </w:r>
          </w:p>
        </w:tc>
      </w:tr>
    </w:tbl>
    <w:p w14:paraId="671AB141" w14:textId="31DFC669" w:rsidR="002C7EF3" w:rsidRPr="00FA2B67" w:rsidRDefault="00FA2B67" w:rsidP="00FA2B67">
      <w:pPr>
        <w:spacing w:line="323" w:lineRule="atLeast"/>
        <w:jc w:val="both"/>
        <w:rPr>
          <w:rFonts w:ascii="Arial" w:hAnsi="Arial" w:cs="Arial"/>
          <w:bCs/>
          <w:iCs/>
        </w:rPr>
      </w:pPr>
      <w:r>
        <w:rPr>
          <w:rFonts w:ascii="Arial" w:hAnsi="Arial" w:cs="Arial"/>
          <w:bCs/>
          <w:iCs/>
        </w:rPr>
        <w:lastRenderedPageBreak/>
        <w:t xml:space="preserve">3.2.4 - </w:t>
      </w:r>
      <w:r w:rsidR="002C7EF3">
        <w:rPr>
          <w:rFonts w:ascii="Arial" w:hAnsi="Arial" w:cs="Arial"/>
          <w:bCs/>
          <w:iCs/>
        </w:rPr>
        <w:t xml:space="preserve"> </w:t>
      </w:r>
      <w:r w:rsidR="002C7EF3" w:rsidRPr="002C7EF3">
        <w:rPr>
          <w:rFonts w:ascii="Arial" w:hAnsi="Arial" w:cs="Arial"/>
          <w:bCs/>
          <w:iCs/>
        </w:rPr>
        <w:t>O fiscal do contrato anotará em registro próprio todas as ocorrências relacionadas à execução do contrato, determinando o que for necessário para a regularização das faltas ou dos defeitos observados (Lei nº 14.133/2021, art. 117, §1º);</w:t>
      </w:r>
    </w:p>
    <w:p w14:paraId="3835CA77" w14:textId="496E21F7" w:rsidR="002C7EF3" w:rsidRPr="00FA2B67" w:rsidRDefault="00FA2B67" w:rsidP="00FA2B67">
      <w:pPr>
        <w:pStyle w:val="PargrafodaLista"/>
        <w:numPr>
          <w:ilvl w:val="2"/>
          <w:numId w:val="10"/>
        </w:numPr>
        <w:spacing w:line="323" w:lineRule="atLeast"/>
        <w:ind w:left="0" w:firstLine="0"/>
        <w:jc w:val="both"/>
        <w:rPr>
          <w:rFonts w:ascii="Arial" w:hAnsi="Arial" w:cs="Arial"/>
          <w:bCs/>
          <w:iCs/>
        </w:rPr>
      </w:pPr>
      <w:r>
        <w:rPr>
          <w:rFonts w:ascii="Arial" w:hAnsi="Arial" w:cs="Arial"/>
          <w:bCs/>
          <w:iCs/>
        </w:rPr>
        <w:t xml:space="preserve">- </w:t>
      </w:r>
      <w:r w:rsidR="002C7EF3" w:rsidRPr="00FA2B67">
        <w:rPr>
          <w:rFonts w:ascii="Arial" w:hAnsi="Arial" w:cs="Arial"/>
          <w:bCs/>
          <w:iCs/>
        </w:rPr>
        <w:t>O fiscal do contrato informará a seus superiores, em tempo hábil para a adoção das medidas convenientes, a situação que demandar decisão ou providência que ultrapasse sua competência (Lei nº 14.133/2021, art. 117, §2º);</w:t>
      </w:r>
    </w:p>
    <w:p w14:paraId="469D80DF" w14:textId="779B07F1" w:rsidR="002C7EF3" w:rsidRPr="002C7EF3" w:rsidRDefault="00FA2B67" w:rsidP="00FA2B67">
      <w:pPr>
        <w:pStyle w:val="PargrafodaLista"/>
        <w:numPr>
          <w:ilvl w:val="2"/>
          <w:numId w:val="10"/>
        </w:numPr>
        <w:spacing w:line="323" w:lineRule="atLeast"/>
        <w:ind w:left="0" w:firstLine="0"/>
        <w:jc w:val="both"/>
        <w:rPr>
          <w:rFonts w:ascii="Arial" w:hAnsi="Arial" w:cs="Arial"/>
          <w:bCs/>
          <w:iCs/>
        </w:rPr>
      </w:pPr>
      <w:r>
        <w:rPr>
          <w:rFonts w:ascii="Arial" w:hAnsi="Arial" w:cs="Arial"/>
          <w:bCs/>
          <w:iCs/>
        </w:rPr>
        <w:t xml:space="preserve">- </w:t>
      </w:r>
      <w:r w:rsidR="002C7EF3" w:rsidRPr="002C7EF3">
        <w:rPr>
          <w:rFonts w:ascii="Arial" w:hAnsi="Arial" w:cs="Arial"/>
          <w:bCs/>
          <w:iC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1151FB7A" w14:textId="76788DF1" w:rsidR="002C7EF3" w:rsidRPr="00FA2B67" w:rsidRDefault="00FA2B67" w:rsidP="00FA2B67">
      <w:pPr>
        <w:pStyle w:val="PargrafodaLista"/>
        <w:numPr>
          <w:ilvl w:val="2"/>
          <w:numId w:val="10"/>
        </w:numPr>
        <w:spacing w:line="323" w:lineRule="atLeast"/>
        <w:ind w:left="0" w:firstLine="0"/>
        <w:jc w:val="both"/>
        <w:rPr>
          <w:rFonts w:ascii="Arial" w:hAnsi="Arial" w:cs="Arial"/>
          <w:bCs/>
          <w:iCs/>
        </w:rPr>
      </w:pPr>
      <w:r>
        <w:rPr>
          <w:rFonts w:ascii="Arial" w:hAnsi="Arial" w:cs="Arial"/>
          <w:bCs/>
          <w:iCs/>
        </w:rPr>
        <w:t xml:space="preserve">- </w:t>
      </w:r>
      <w:r w:rsidR="002C7EF3" w:rsidRPr="00FA2B67">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7230B33A" w14:textId="70E56556" w:rsidR="002C7EF3" w:rsidRPr="00FA2B67" w:rsidRDefault="00FA2B67" w:rsidP="00FA2B67">
      <w:pPr>
        <w:pStyle w:val="PargrafodaLista"/>
        <w:numPr>
          <w:ilvl w:val="2"/>
          <w:numId w:val="10"/>
        </w:numPr>
        <w:spacing w:line="323" w:lineRule="atLeast"/>
        <w:ind w:left="0" w:firstLine="0"/>
        <w:jc w:val="both"/>
        <w:rPr>
          <w:rFonts w:ascii="Arial" w:hAnsi="Arial" w:cs="Arial"/>
          <w:bCs/>
          <w:iCs/>
        </w:rPr>
      </w:pPr>
      <w:r>
        <w:rPr>
          <w:rFonts w:ascii="Arial" w:hAnsi="Arial" w:cs="Arial"/>
          <w:bCs/>
          <w:iCs/>
        </w:rPr>
        <w:t xml:space="preserve">- </w:t>
      </w:r>
      <w:r w:rsidR="002C7EF3" w:rsidRPr="00FA2B67">
        <w:rPr>
          <w:rFonts w:ascii="Arial" w:hAnsi="Arial" w:cs="Arial"/>
          <w:bCs/>
          <w:iCs/>
        </w:rPr>
        <w:t>Somente o contratado será responsável pelos encargos trabalhistas, previdenciários, fiscais e comerciais resultantes da execução do contrato (Lei nº 14.133/2021, art. 121, caput);</w:t>
      </w:r>
    </w:p>
    <w:p w14:paraId="548DDC92" w14:textId="4C83C85F" w:rsidR="002C7EF3" w:rsidRPr="00FA2B67" w:rsidRDefault="00FA2B67" w:rsidP="00FA2B67">
      <w:pPr>
        <w:pStyle w:val="PargrafodaLista"/>
        <w:numPr>
          <w:ilvl w:val="2"/>
          <w:numId w:val="10"/>
        </w:numPr>
        <w:spacing w:line="323" w:lineRule="atLeast"/>
        <w:ind w:left="0" w:firstLine="0"/>
        <w:jc w:val="both"/>
        <w:rPr>
          <w:rFonts w:ascii="Arial" w:hAnsi="Arial" w:cs="Arial"/>
          <w:bCs/>
          <w:iCs/>
        </w:rPr>
      </w:pPr>
      <w:r>
        <w:rPr>
          <w:rFonts w:ascii="Arial" w:hAnsi="Arial" w:cs="Arial"/>
          <w:bCs/>
          <w:iCs/>
        </w:rPr>
        <w:t xml:space="preserve">- </w:t>
      </w:r>
      <w:r w:rsidR="002C7EF3" w:rsidRPr="00FA2B67">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14.133/2021, art. 121, §1º);</w:t>
      </w:r>
    </w:p>
    <w:p w14:paraId="63499F7C" w14:textId="688D9306" w:rsidR="002C7EF3" w:rsidRPr="00FA2B67" w:rsidRDefault="00FA2B67" w:rsidP="00FA2B67">
      <w:pPr>
        <w:pStyle w:val="PargrafodaLista"/>
        <w:numPr>
          <w:ilvl w:val="2"/>
          <w:numId w:val="10"/>
        </w:numPr>
        <w:spacing w:line="323" w:lineRule="atLeast"/>
        <w:ind w:left="0" w:firstLine="0"/>
        <w:jc w:val="both"/>
        <w:rPr>
          <w:rFonts w:ascii="Arial" w:hAnsi="Arial" w:cs="Arial"/>
          <w:bCs/>
          <w:iCs/>
        </w:rPr>
      </w:pPr>
      <w:r>
        <w:rPr>
          <w:rFonts w:ascii="Arial" w:hAnsi="Arial" w:cs="Arial"/>
          <w:bCs/>
          <w:iCs/>
        </w:rPr>
        <w:t xml:space="preserve">- </w:t>
      </w:r>
      <w:r w:rsidR="002C7EF3" w:rsidRPr="00FA2B67">
        <w:rPr>
          <w:rFonts w:ascii="Arial" w:hAnsi="Arial" w:cs="Arial"/>
          <w:bCs/>
          <w:iCs/>
        </w:rPr>
        <w:t>As comunicações entre o órgão ou entidade e a contratada devem ser realizadas por escrito sempre que o ato exigir tal formalidade, admitindo-se, excepcionalmente, o uso de mensagem eletrônica para esse fim (IN 5/2017, art. 44, §2º);</w:t>
      </w:r>
    </w:p>
    <w:p w14:paraId="10C83B82" w14:textId="1081FA84" w:rsidR="002C7EF3" w:rsidRPr="00FA2B67" w:rsidRDefault="00FA2B67" w:rsidP="00FA2B67">
      <w:pPr>
        <w:pStyle w:val="PargrafodaLista"/>
        <w:numPr>
          <w:ilvl w:val="2"/>
          <w:numId w:val="10"/>
        </w:numPr>
        <w:spacing w:line="323" w:lineRule="atLeast"/>
        <w:ind w:left="0" w:firstLine="0"/>
        <w:jc w:val="both"/>
        <w:rPr>
          <w:rFonts w:ascii="Arial" w:hAnsi="Arial" w:cs="Arial"/>
          <w:bCs/>
          <w:iCs/>
        </w:rPr>
      </w:pPr>
      <w:r>
        <w:rPr>
          <w:rFonts w:ascii="Arial" w:hAnsi="Arial" w:cs="Arial"/>
          <w:bCs/>
          <w:iCs/>
        </w:rPr>
        <w:t xml:space="preserve">- </w:t>
      </w:r>
      <w:r w:rsidR="002C7EF3" w:rsidRPr="00FA2B67">
        <w:rPr>
          <w:rFonts w:ascii="Arial" w:hAnsi="Arial" w:cs="Arial"/>
          <w:bCs/>
          <w:iCs/>
        </w:rPr>
        <w:t>O órgão ou entidade poderá convocar representante da empresa para adoção de providências que devam ser cumpridas de imediato (IN 5/2017, art. 44, 31º);</w:t>
      </w:r>
    </w:p>
    <w:p w14:paraId="462F08FF" w14:textId="3ECFCD0A" w:rsidR="002C7EF3" w:rsidRPr="00FA2B67" w:rsidRDefault="00FA2B67" w:rsidP="00FA2B67">
      <w:pPr>
        <w:pStyle w:val="PargrafodaLista"/>
        <w:numPr>
          <w:ilvl w:val="2"/>
          <w:numId w:val="10"/>
        </w:numPr>
        <w:spacing w:line="323" w:lineRule="atLeast"/>
        <w:ind w:left="0" w:firstLine="0"/>
        <w:jc w:val="both"/>
        <w:rPr>
          <w:rFonts w:ascii="Arial" w:hAnsi="Arial" w:cs="Arial"/>
          <w:bCs/>
          <w:iCs/>
        </w:rPr>
      </w:pPr>
      <w:r>
        <w:rPr>
          <w:rFonts w:ascii="Arial" w:hAnsi="Arial" w:cs="Arial"/>
          <w:bCs/>
          <w:iCs/>
        </w:rPr>
        <w:t xml:space="preserve">- </w:t>
      </w:r>
      <w:r w:rsidR="002C7EF3" w:rsidRPr="00FA2B67">
        <w:rPr>
          <w:rFonts w:ascii="Arial" w:hAnsi="Arial" w:cs="Arial"/>
          <w:bCs/>
          <w:iCs/>
        </w:rPr>
        <w:t>Antes do pagamento da nota fiscal ou da fatura, deverá ser consultada a situação da empresa junto ao SICAF;</w:t>
      </w:r>
    </w:p>
    <w:p w14:paraId="5E232382" w14:textId="4D777755" w:rsidR="002C7EF3" w:rsidRPr="00FA2B67" w:rsidRDefault="00FA2B67" w:rsidP="00FA2B67">
      <w:pPr>
        <w:pStyle w:val="PargrafodaLista"/>
        <w:numPr>
          <w:ilvl w:val="2"/>
          <w:numId w:val="10"/>
        </w:numPr>
        <w:spacing w:line="323" w:lineRule="atLeast"/>
        <w:ind w:left="0" w:firstLine="0"/>
        <w:jc w:val="both"/>
        <w:rPr>
          <w:rFonts w:ascii="Arial" w:hAnsi="Arial" w:cs="Arial"/>
          <w:bCs/>
          <w:iCs/>
        </w:rPr>
      </w:pPr>
      <w:r>
        <w:rPr>
          <w:rFonts w:ascii="Arial" w:hAnsi="Arial" w:cs="Arial"/>
          <w:bCs/>
          <w:iCs/>
        </w:rPr>
        <w:t xml:space="preserve">- </w:t>
      </w:r>
      <w:r w:rsidR="002C7EF3" w:rsidRPr="00FA2B67">
        <w:rPr>
          <w:rFonts w:ascii="Arial" w:hAnsi="Arial" w:cs="Arial"/>
          <w:bCs/>
          <w:iC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16481E98" w14:textId="77777777" w:rsidR="002C7EF3" w:rsidRPr="008C13A3" w:rsidRDefault="002C7EF3"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FA2B67">
      <w:pPr>
        <w:pStyle w:val="PargrafodaLista"/>
        <w:numPr>
          <w:ilvl w:val="0"/>
          <w:numId w:val="10"/>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273B40C6" w14:textId="1E842B3D" w:rsidR="004E079B" w:rsidRPr="008C13A3" w:rsidRDefault="001D32DF" w:rsidP="00FA2B67">
      <w:pPr>
        <w:pStyle w:val="PargrafodaLista"/>
        <w:numPr>
          <w:ilvl w:val="0"/>
          <w:numId w:val="10"/>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lastRenderedPageBreak/>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614DE2D" w:rsidR="00147B9F" w:rsidRPr="00FA2B67" w:rsidRDefault="00147B9F" w:rsidP="00FA2B67">
      <w:pPr>
        <w:pStyle w:val="PargrafodaLista"/>
        <w:widowControl/>
        <w:numPr>
          <w:ilvl w:val="1"/>
          <w:numId w:val="10"/>
        </w:numPr>
        <w:tabs>
          <w:tab w:val="left" w:pos="71"/>
        </w:tabs>
        <w:autoSpaceDE/>
        <w:autoSpaceDN/>
        <w:spacing w:before="120" w:after="120" w:line="276" w:lineRule="auto"/>
        <w:ind w:left="0" w:firstLine="0"/>
        <w:jc w:val="both"/>
        <w:rPr>
          <w:rFonts w:ascii="Arial" w:hAnsi="Arial" w:cs="Arial"/>
          <w:bCs/>
          <w:iCs/>
        </w:rPr>
      </w:pPr>
      <w:r w:rsidRPr="00FA2B67">
        <w:rPr>
          <w:rFonts w:ascii="Arial" w:hAnsi="Arial" w:cs="Arial"/>
          <w:bCs/>
          <w:iCs/>
        </w:rPr>
        <w:t>O valor total da contratação é de R$.......... (.....)</w:t>
      </w:r>
    </w:p>
    <w:p w14:paraId="19E0CAC1" w14:textId="3066B963" w:rsidR="001D32DF" w:rsidRPr="008C13A3" w:rsidRDefault="001D32DF"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FA2B67" w:rsidRDefault="00147B9F"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bCs/>
          <w:iCs/>
        </w:rPr>
      </w:pPr>
      <w:r w:rsidRPr="00FA2B67">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FA2B67">
      <w:pPr>
        <w:pStyle w:val="PargrafodaLista"/>
        <w:numPr>
          <w:ilvl w:val="0"/>
          <w:numId w:val="10"/>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08F8EF66" w14:textId="21BA1C63" w:rsidR="00FA2B67" w:rsidRPr="00FA2B67" w:rsidRDefault="00FA2B67" w:rsidP="00FA2B67">
      <w:pPr>
        <w:pStyle w:val="PargrafodaLista"/>
        <w:numPr>
          <w:ilvl w:val="1"/>
          <w:numId w:val="10"/>
        </w:numPr>
        <w:spacing w:line="323" w:lineRule="atLeast"/>
        <w:ind w:left="0" w:firstLine="0"/>
        <w:jc w:val="both"/>
        <w:rPr>
          <w:rFonts w:ascii="Arial" w:hAnsi="Arial" w:cs="Arial"/>
          <w:bCs/>
          <w:iCs/>
        </w:rPr>
      </w:pPr>
      <w:r>
        <w:rPr>
          <w:rFonts w:cs="Calibri"/>
        </w:rPr>
        <w:t xml:space="preserve">- </w:t>
      </w:r>
      <w:r w:rsidRPr="00FA2B67">
        <w:rPr>
          <w:rFonts w:ascii="Arial" w:hAnsi="Arial" w:cs="Arial"/>
          <w:bCs/>
          <w:iCs/>
        </w:rPr>
        <w:t>O pagamento será efetuado conforme estabelece o Decreto n° 2493 de 07 de novembro de 2023, desde que as certidões listadas abaixo estejam dentro da validade:</w:t>
      </w:r>
    </w:p>
    <w:p w14:paraId="40A305B1" w14:textId="71ADACBC" w:rsidR="00FA2B67" w:rsidRPr="00FA2B67" w:rsidRDefault="00FA2B67" w:rsidP="00FA2B67">
      <w:pPr>
        <w:pStyle w:val="PargrafodaLista"/>
        <w:numPr>
          <w:ilvl w:val="2"/>
          <w:numId w:val="11"/>
        </w:numPr>
        <w:spacing w:line="323" w:lineRule="atLeast"/>
        <w:ind w:left="0" w:firstLine="0"/>
        <w:jc w:val="both"/>
        <w:rPr>
          <w:rFonts w:ascii="Arial" w:hAnsi="Arial" w:cs="Arial"/>
          <w:bCs/>
          <w:iCs/>
        </w:rPr>
      </w:pPr>
      <w:r w:rsidRPr="00FA2B67">
        <w:rPr>
          <w:rFonts w:ascii="Arial" w:hAnsi="Arial" w:cs="Arial"/>
          <w:bCs/>
          <w:iCs/>
        </w:rPr>
        <w:t>Negativa de Débitos Trabalhistas;</w:t>
      </w:r>
    </w:p>
    <w:p w14:paraId="246479DE" w14:textId="244F07E3" w:rsidR="00FA2B67" w:rsidRPr="00FA2B67" w:rsidRDefault="00FA2B67" w:rsidP="00FA2B67">
      <w:pPr>
        <w:pStyle w:val="PargrafodaLista"/>
        <w:numPr>
          <w:ilvl w:val="2"/>
          <w:numId w:val="11"/>
        </w:numPr>
        <w:spacing w:line="323" w:lineRule="atLeast"/>
        <w:ind w:left="0" w:firstLine="0"/>
        <w:jc w:val="both"/>
        <w:rPr>
          <w:rFonts w:ascii="Arial" w:hAnsi="Arial" w:cs="Arial"/>
          <w:bCs/>
          <w:iCs/>
        </w:rPr>
      </w:pPr>
      <w:r w:rsidRPr="00FA2B67">
        <w:rPr>
          <w:rFonts w:ascii="Arial" w:hAnsi="Arial" w:cs="Arial"/>
          <w:bCs/>
          <w:iCs/>
        </w:rPr>
        <w:t>Fazenda Federal – abrange as contribuições sociais;</w:t>
      </w:r>
    </w:p>
    <w:p w14:paraId="56DABEA1" w14:textId="11E32C32" w:rsidR="00FA2B67" w:rsidRPr="00FA2B67" w:rsidRDefault="00FA2B67" w:rsidP="00FA2B67">
      <w:pPr>
        <w:pStyle w:val="PargrafodaLista"/>
        <w:numPr>
          <w:ilvl w:val="2"/>
          <w:numId w:val="11"/>
        </w:numPr>
        <w:spacing w:line="323" w:lineRule="atLeast"/>
        <w:ind w:left="0" w:firstLine="0"/>
        <w:jc w:val="both"/>
        <w:rPr>
          <w:rFonts w:ascii="Arial" w:hAnsi="Arial" w:cs="Arial"/>
          <w:bCs/>
          <w:iCs/>
        </w:rPr>
      </w:pPr>
      <w:r w:rsidRPr="00FA2B67">
        <w:rPr>
          <w:rFonts w:ascii="Arial" w:hAnsi="Arial" w:cs="Arial"/>
          <w:bCs/>
          <w:iCs/>
        </w:rPr>
        <w:t>FGTS;</w:t>
      </w:r>
    </w:p>
    <w:p w14:paraId="688F3254" w14:textId="0DD252E2" w:rsidR="00FA2B67" w:rsidRPr="00FA2B67" w:rsidRDefault="00FA2B67" w:rsidP="00FA2B67">
      <w:pPr>
        <w:pStyle w:val="PargrafodaLista"/>
        <w:numPr>
          <w:ilvl w:val="2"/>
          <w:numId w:val="11"/>
        </w:numPr>
        <w:spacing w:line="323" w:lineRule="atLeast"/>
        <w:ind w:left="0" w:firstLine="0"/>
        <w:jc w:val="both"/>
        <w:rPr>
          <w:rFonts w:ascii="Arial" w:hAnsi="Arial" w:cs="Arial"/>
          <w:bCs/>
          <w:iCs/>
        </w:rPr>
      </w:pPr>
      <w:r w:rsidRPr="00FA2B67">
        <w:rPr>
          <w:rFonts w:ascii="Arial" w:hAnsi="Arial" w:cs="Arial"/>
          <w:bCs/>
          <w:iCs/>
        </w:rPr>
        <w:t>PGE – referente à Dívida Ativa Estadual;</w:t>
      </w:r>
    </w:p>
    <w:p w14:paraId="5D1BCF82" w14:textId="37E927D6" w:rsidR="00FA2B67" w:rsidRPr="00FA2B67" w:rsidRDefault="00FA2B67" w:rsidP="00FA2B67">
      <w:pPr>
        <w:pStyle w:val="PargrafodaLista"/>
        <w:numPr>
          <w:ilvl w:val="2"/>
          <w:numId w:val="11"/>
        </w:numPr>
        <w:spacing w:line="323" w:lineRule="atLeast"/>
        <w:ind w:left="0" w:firstLine="0"/>
        <w:jc w:val="both"/>
        <w:rPr>
          <w:rFonts w:ascii="Arial" w:hAnsi="Arial" w:cs="Arial"/>
          <w:bCs/>
          <w:iCs/>
        </w:rPr>
      </w:pPr>
      <w:r w:rsidRPr="00FA2B67">
        <w:rPr>
          <w:rFonts w:ascii="Arial" w:hAnsi="Arial" w:cs="Arial"/>
          <w:bCs/>
          <w:iCs/>
        </w:rPr>
        <w:t>Municipal – referente ao ISS e Dívida Ativa;</w:t>
      </w:r>
    </w:p>
    <w:p w14:paraId="56C41DF5" w14:textId="6D076E89" w:rsidR="00FA2B67" w:rsidRPr="00FA2B67" w:rsidRDefault="00FA2B67" w:rsidP="00FA2B67">
      <w:pPr>
        <w:pStyle w:val="PargrafodaLista"/>
        <w:numPr>
          <w:ilvl w:val="2"/>
          <w:numId w:val="11"/>
        </w:numPr>
        <w:spacing w:line="323" w:lineRule="atLeast"/>
        <w:ind w:left="0" w:firstLine="0"/>
        <w:jc w:val="both"/>
        <w:rPr>
          <w:rFonts w:ascii="Arial" w:hAnsi="Arial" w:cs="Arial"/>
          <w:bCs/>
          <w:iCs/>
        </w:rPr>
      </w:pPr>
      <w:r w:rsidRPr="00FA2B67">
        <w:rPr>
          <w:rFonts w:ascii="Arial" w:hAnsi="Arial" w:cs="Arial"/>
          <w:bCs/>
          <w:iCs/>
        </w:rPr>
        <w:t>Estadual CND – referente ao ICMS;</w:t>
      </w:r>
    </w:p>
    <w:p w14:paraId="6673484D" w14:textId="091A3E5A" w:rsidR="00FA2B67" w:rsidRPr="00FA2B67" w:rsidRDefault="00FA2B67" w:rsidP="00FA2B67">
      <w:pPr>
        <w:pStyle w:val="PargrafodaLista"/>
        <w:numPr>
          <w:ilvl w:val="1"/>
          <w:numId w:val="10"/>
        </w:numPr>
        <w:spacing w:line="323" w:lineRule="atLeast"/>
        <w:ind w:left="0" w:firstLine="0"/>
        <w:jc w:val="both"/>
        <w:rPr>
          <w:rFonts w:ascii="Arial" w:hAnsi="Arial" w:cs="Arial"/>
          <w:bCs/>
          <w:iCs/>
        </w:rPr>
      </w:pPr>
      <w:r w:rsidRPr="00FA2B67">
        <w:rPr>
          <w:rFonts w:ascii="Arial" w:hAnsi="Arial" w:cs="Arial"/>
          <w:bCs/>
          <w:iCs/>
        </w:rPr>
        <w:t xml:space="preserve">- </w:t>
      </w:r>
      <w:r w:rsidRPr="00FA2B67">
        <w:rPr>
          <w:rFonts w:ascii="Arial" w:hAnsi="Arial" w:cs="Arial"/>
          <w:bCs/>
          <w:iCs/>
        </w:rPr>
        <w:t>A Nota Fiscal deverá conter a identificação do Banco, número da Agência e da Conta-Corrente, para que possibilite o CONTRATANTE efetuar o pagamento do valor devido;</w:t>
      </w:r>
    </w:p>
    <w:p w14:paraId="56965A09" w14:textId="1D537A70" w:rsidR="00FA2B67" w:rsidRPr="00FA2B67" w:rsidRDefault="00FA2B67" w:rsidP="00FA2B67">
      <w:pPr>
        <w:pStyle w:val="PargrafodaLista"/>
        <w:numPr>
          <w:ilvl w:val="1"/>
          <w:numId w:val="10"/>
        </w:numPr>
        <w:spacing w:line="323" w:lineRule="atLeast"/>
        <w:ind w:left="0" w:firstLine="0"/>
        <w:jc w:val="both"/>
        <w:rPr>
          <w:rFonts w:ascii="Arial" w:hAnsi="Arial" w:cs="Arial"/>
          <w:bCs/>
          <w:iCs/>
        </w:rPr>
      </w:pPr>
      <w:r w:rsidRPr="00FA2B67">
        <w:rPr>
          <w:rFonts w:ascii="Arial" w:hAnsi="Arial" w:cs="Arial"/>
          <w:bCs/>
          <w:iCs/>
        </w:rPr>
        <w:t xml:space="preserve">- </w:t>
      </w:r>
      <w:r w:rsidRPr="00FA2B67">
        <w:rPr>
          <w:rFonts w:ascii="Arial" w:hAnsi="Arial" w:cs="Arial"/>
          <w:bCs/>
          <w:iCs/>
        </w:rPr>
        <w:t>Na ocorrência de rejeição da(s) Nota(s) Fiscal (is), motivada por erro ou incorreções, o prazo para pagamento estipulado acima passará a ser contado a partir da data de sua reapresentação.</w:t>
      </w:r>
    </w:p>
    <w:p w14:paraId="4357BEEB" w14:textId="189CCBA2" w:rsidR="00BE4E9F" w:rsidRPr="008C13A3"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8C13A3" w:rsidRDefault="0097688D" w:rsidP="00FA2B67">
      <w:pPr>
        <w:pStyle w:val="PargrafodaLista"/>
        <w:numPr>
          <w:ilvl w:val="0"/>
          <w:numId w:val="10"/>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77777777" w:rsidR="0097688D" w:rsidRPr="008C13A3" w:rsidRDefault="0097688D"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bCs/>
          <w:i/>
          <w:color w:val="FF0000"/>
        </w:rPr>
      </w:pPr>
      <w:r w:rsidRPr="008C13A3">
        <w:rPr>
          <w:rFonts w:ascii="Arial" w:hAnsi="Arial" w:cs="Arial"/>
          <w:bCs/>
          <w:iCs/>
        </w:rPr>
        <w:t xml:space="preserve">Os preços inicialmente contratados são fixos e irreajustáveis no prazo de um ano contado da data do orçamento estimado, em </w:t>
      </w:r>
      <w:r w:rsidRPr="00FA2B67">
        <w:rPr>
          <w:rFonts w:ascii="Arial" w:hAnsi="Arial" w:cs="Arial"/>
          <w:bCs/>
          <w:iCs/>
        </w:rPr>
        <w:t>__/__/__ (DD/MM/AAAA).</w:t>
      </w:r>
    </w:p>
    <w:p w14:paraId="70569D4F" w14:textId="46033915" w:rsidR="0097688D" w:rsidRPr="008C13A3" w:rsidRDefault="0097688D"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Nos reajustes subsequentes ao primeiro, o interregno mínimo de um ano será contado a partir dos efeitos financeiros do último reajuste.</w:t>
      </w:r>
    </w:p>
    <w:p w14:paraId="493CC5B1" w14:textId="77777777" w:rsidR="0097688D" w:rsidRPr="008C13A3" w:rsidRDefault="0097688D"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FA2B67">
      <w:pPr>
        <w:pStyle w:val="PargrafodaLista"/>
        <w:numPr>
          <w:ilvl w:val="0"/>
          <w:numId w:val="10"/>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FA2B67">
      <w:pPr>
        <w:pStyle w:val="PargrafodaLista"/>
        <w:widowControl/>
        <w:numPr>
          <w:ilvl w:val="2"/>
          <w:numId w:val="10"/>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FA2B67">
      <w:pPr>
        <w:pStyle w:val="PargrafodaLista"/>
        <w:widowControl/>
        <w:numPr>
          <w:ilvl w:val="2"/>
          <w:numId w:val="10"/>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FA2B67">
      <w:pPr>
        <w:pStyle w:val="PargrafodaLista"/>
        <w:widowControl/>
        <w:numPr>
          <w:ilvl w:val="2"/>
          <w:numId w:val="10"/>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FA2B67">
      <w:pPr>
        <w:pStyle w:val="PargrafodaLista"/>
        <w:widowControl/>
        <w:numPr>
          <w:ilvl w:val="2"/>
          <w:numId w:val="10"/>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FA2B67">
      <w:pPr>
        <w:pStyle w:val="PargrafodaLista"/>
        <w:widowControl/>
        <w:numPr>
          <w:ilvl w:val="2"/>
          <w:numId w:val="10"/>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FA2B67">
      <w:pPr>
        <w:pStyle w:val="PargrafodaLista"/>
        <w:widowControl/>
        <w:numPr>
          <w:ilvl w:val="2"/>
          <w:numId w:val="10"/>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FA2B67">
      <w:pPr>
        <w:pStyle w:val="PargrafodaLista"/>
        <w:widowControl/>
        <w:numPr>
          <w:ilvl w:val="2"/>
          <w:numId w:val="10"/>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FA2B67">
      <w:pPr>
        <w:pStyle w:val="PargrafodaLista"/>
        <w:widowControl/>
        <w:numPr>
          <w:ilvl w:val="2"/>
          <w:numId w:val="10"/>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Explicitamente emitir decisão sobre todas as solicitações e reclamações relacionadas à execução do presente Contrato, ressalvados os requerimentos </w:t>
      </w:r>
      <w:r w:rsidRPr="008C13A3">
        <w:rPr>
          <w:rFonts w:ascii="Arial" w:hAnsi="Arial" w:cs="Arial"/>
          <w:bCs/>
          <w:iCs/>
          <w:lang w:val="pt-BR"/>
        </w:rPr>
        <w:lastRenderedPageBreak/>
        <w:t>manifestamente impertinentes, meramente protelatórios ou de nenhum interesse para a boa execução do ajuste.</w:t>
      </w:r>
    </w:p>
    <w:p w14:paraId="7BEA1B30" w14:textId="53419478" w:rsidR="00A27B94" w:rsidRPr="008C13A3" w:rsidRDefault="00A27B94" w:rsidP="00FA2B67">
      <w:pPr>
        <w:pStyle w:val="PargrafodaLista"/>
        <w:widowControl/>
        <w:numPr>
          <w:ilvl w:val="2"/>
          <w:numId w:val="10"/>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terá o prazo </w:t>
      </w:r>
      <w:r w:rsidRPr="00FA2B67">
        <w:rPr>
          <w:rFonts w:ascii="Arial" w:hAnsi="Arial" w:cs="Arial"/>
          <w:bCs/>
          <w:iCs/>
          <w:lang w:val="pt-BR"/>
        </w:rPr>
        <w:t xml:space="preserve">de </w:t>
      </w:r>
      <w:r w:rsidRPr="00FA2B67">
        <w:rPr>
          <w:rFonts w:ascii="Arial" w:hAnsi="Arial" w:cs="Arial"/>
          <w:bCs/>
          <w:iCs/>
        </w:rPr>
        <w:t>1 (um) mês</w:t>
      </w:r>
      <w:r w:rsidRPr="00FA2B67">
        <w:rPr>
          <w:rFonts w:ascii="Arial" w:hAnsi="Arial" w:cs="Arial"/>
          <w:bCs/>
          <w:iCs/>
          <w:lang w:val="pt-BR"/>
        </w:rPr>
        <w:t xml:space="preserve">, </w:t>
      </w:r>
      <w:r w:rsidRPr="008C13A3">
        <w:rPr>
          <w:rFonts w:ascii="Arial" w:hAnsi="Arial" w:cs="Arial"/>
          <w:bCs/>
          <w:iCs/>
          <w:lang w:val="pt-BR"/>
        </w:rPr>
        <w:t xml:space="preserve">a contar da data do protocolo do requerimento para decidir, admitida a prorrogação motivada, por igual período. </w:t>
      </w:r>
    </w:p>
    <w:p w14:paraId="5F21FBC5" w14:textId="2BF7760D" w:rsidR="00A27B94" w:rsidRPr="008C13A3" w:rsidRDefault="00A27B94" w:rsidP="00FA2B67">
      <w:pPr>
        <w:pStyle w:val="PargrafodaLista"/>
        <w:widowControl/>
        <w:numPr>
          <w:ilvl w:val="2"/>
          <w:numId w:val="10"/>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Responder eventuais pedidos de reestabelecimento do equilíbrio econômico-financeiro feitos pelo contratado no prazo máximo </w:t>
      </w:r>
      <w:r w:rsidRPr="00FA2B67">
        <w:rPr>
          <w:rFonts w:ascii="Arial" w:hAnsi="Arial" w:cs="Arial"/>
          <w:bCs/>
          <w:iCs/>
          <w:lang w:val="pt-BR"/>
        </w:rPr>
        <w:t xml:space="preserve">de </w:t>
      </w:r>
      <w:r w:rsidRPr="00FA2B67">
        <w:rPr>
          <w:rFonts w:ascii="Arial" w:hAnsi="Arial" w:cs="Arial"/>
          <w:bCs/>
          <w:iCs/>
        </w:rPr>
        <w:t>1 (um) mês</w:t>
      </w:r>
      <w:r w:rsidRPr="00FA2B67">
        <w:rPr>
          <w:rFonts w:ascii="Arial" w:hAnsi="Arial" w:cs="Arial"/>
          <w:bCs/>
          <w:iCs/>
          <w:lang w:val="pt-BR"/>
        </w:rPr>
        <w:t>.</w:t>
      </w:r>
    </w:p>
    <w:p w14:paraId="5080FE7D" w14:textId="77777777" w:rsidR="00A27B94" w:rsidRPr="008C13A3" w:rsidRDefault="00A27B94" w:rsidP="00FA2B67">
      <w:pPr>
        <w:pStyle w:val="PargrafodaLista"/>
        <w:widowControl/>
        <w:numPr>
          <w:ilvl w:val="2"/>
          <w:numId w:val="10"/>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Pr="008C13A3" w:rsidRDefault="00874B70" w:rsidP="00FA2B67">
      <w:pPr>
        <w:pStyle w:val="PargrafodaLista"/>
        <w:numPr>
          <w:ilvl w:val="0"/>
          <w:numId w:val="10"/>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FA2B67">
      <w:pPr>
        <w:pStyle w:val="PargrafodaLista"/>
        <w:widowControl/>
        <w:numPr>
          <w:ilvl w:val="2"/>
          <w:numId w:val="10"/>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FA2B67">
      <w:pPr>
        <w:pStyle w:val="PargrafodaLista"/>
        <w:widowControl/>
        <w:numPr>
          <w:ilvl w:val="2"/>
          <w:numId w:val="10"/>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FA2B67">
      <w:pPr>
        <w:pStyle w:val="PargrafodaLista"/>
        <w:widowControl/>
        <w:numPr>
          <w:ilvl w:val="2"/>
          <w:numId w:val="10"/>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FA2B67">
      <w:pPr>
        <w:pStyle w:val="PargrafodaLista"/>
        <w:widowControl/>
        <w:numPr>
          <w:ilvl w:val="2"/>
          <w:numId w:val="10"/>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FA2B67">
      <w:pPr>
        <w:pStyle w:val="PargrafodaLista"/>
        <w:widowControl/>
        <w:numPr>
          <w:ilvl w:val="2"/>
          <w:numId w:val="10"/>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FA2B67">
      <w:pPr>
        <w:pStyle w:val="PargrafodaLista"/>
        <w:widowControl/>
        <w:numPr>
          <w:ilvl w:val="2"/>
          <w:numId w:val="10"/>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w:t>
      </w:r>
      <w:r w:rsidRPr="008C13A3">
        <w:rPr>
          <w:rFonts w:ascii="Arial" w:hAnsi="Arial" w:cs="Arial"/>
          <w:bCs/>
          <w:iCs/>
          <w:lang w:val="pt-BR"/>
        </w:rPr>
        <w:lastRenderedPageBreak/>
        <w:t xml:space="preserve">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FA2B67">
      <w:pPr>
        <w:pStyle w:val="PargrafodaLista"/>
        <w:widowControl/>
        <w:numPr>
          <w:ilvl w:val="2"/>
          <w:numId w:val="10"/>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FA2B67">
      <w:pPr>
        <w:pStyle w:val="PargrafodaLista"/>
        <w:widowControl/>
        <w:numPr>
          <w:ilvl w:val="2"/>
          <w:numId w:val="10"/>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FA2B67">
      <w:pPr>
        <w:pStyle w:val="PargrafodaLista"/>
        <w:widowControl/>
        <w:numPr>
          <w:ilvl w:val="2"/>
          <w:numId w:val="10"/>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FA2B67">
      <w:pPr>
        <w:pStyle w:val="PargrafodaLista"/>
        <w:widowControl/>
        <w:numPr>
          <w:ilvl w:val="2"/>
          <w:numId w:val="10"/>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FA2B67">
      <w:pPr>
        <w:pStyle w:val="Nivel2"/>
        <w:numPr>
          <w:ilvl w:val="1"/>
          <w:numId w:val="10"/>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FA2B67">
      <w:pPr>
        <w:pStyle w:val="Nivel2"/>
        <w:numPr>
          <w:ilvl w:val="1"/>
          <w:numId w:val="10"/>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FA2B67">
      <w:pPr>
        <w:pStyle w:val="Nivel2"/>
        <w:numPr>
          <w:ilvl w:val="1"/>
          <w:numId w:val="10"/>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FA2B67">
      <w:pPr>
        <w:pStyle w:val="Nivel2"/>
        <w:numPr>
          <w:ilvl w:val="1"/>
          <w:numId w:val="10"/>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77777777" w:rsidR="004A20F0" w:rsidRPr="008C13A3" w:rsidRDefault="004A20F0" w:rsidP="00FA2B67">
      <w:pPr>
        <w:pStyle w:val="Nivel2"/>
        <w:numPr>
          <w:ilvl w:val="1"/>
          <w:numId w:val="10"/>
        </w:numPr>
        <w:rPr>
          <w:sz w:val="22"/>
          <w:szCs w:val="22"/>
        </w:rPr>
      </w:pPr>
      <w:r w:rsidRPr="008C13A3">
        <w:rPr>
          <w:sz w:val="22"/>
          <w:szCs w:val="22"/>
        </w:rPr>
        <w:t>Cumprir, além dos postulados legais vigentes de âmbito federal, estadual ou municipal, as normas de segurança do contratante;</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FA2B67">
      <w:pPr>
        <w:pStyle w:val="PargrafodaLista"/>
        <w:numPr>
          <w:ilvl w:val="0"/>
          <w:numId w:val="10"/>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4597AFA8" w:rsidR="003A3482" w:rsidRDefault="003A3482"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673A99DE" w14:textId="77777777" w:rsidR="00AB4B1A" w:rsidRPr="008C13A3" w:rsidRDefault="00AB4B1A" w:rsidP="00AB4B1A">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59A26649" w14:textId="73ACC1E7" w:rsidR="009C02ED" w:rsidRPr="008C13A3" w:rsidRDefault="009C02ED" w:rsidP="00FA2B67">
      <w:pPr>
        <w:pStyle w:val="PargrafodaLista"/>
        <w:numPr>
          <w:ilvl w:val="0"/>
          <w:numId w:val="10"/>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 xml:space="preserve">art. </w:t>
        </w:r>
        <w:r w:rsidRPr="008C13A3">
          <w:rPr>
            <w:rFonts w:ascii="Arial" w:eastAsiaTheme="majorEastAsia" w:hAnsi="Arial" w:cs="Arial"/>
            <w:b/>
            <w:bCs/>
            <w:lang w:val="pt-BR" w:eastAsia="pt-BR"/>
          </w:rPr>
          <w:lastRenderedPageBreak/>
          <w:t>92, XIV</w:t>
        </w:r>
      </w:hyperlink>
      <w:r w:rsidRPr="008C13A3">
        <w:rPr>
          <w:rFonts w:ascii="Arial" w:eastAsiaTheme="majorEastAsia" w:hAnsi="Arial" w:cs="Arial"/>
          <w:b/>
          <w:bCs/>
          <w:lang w:val="pt-BR" w:eastAsia="pt-BR"/>
        </w:rPr>
        <w:t>)</w:t>
      </w:r>
    </w:p>
    <w:p w14:paraId="372A7300" w14:textId="77777777" w:rsidR="00370B10" w:rsidRPr="008C13A3" w:rsidRDefault="00370B10"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5" w:name="_Hlk114504069"/>
        <w:r w:rsidRPr="008C13A3">
          <w:rPr>
            <w:rStyle w:val="Hyperlink"/>
            <w:rFonts w:ascii="Arial" w:eastAsia="Arial" w:hAnsi="Arial" w:cs="Arial"/>
          </w:rPr>
          <w:t>Lei nº 14.133, de 2021</w:t>
        </w:r>
        <w:bookmarkEnd w:id="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ED1FFF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AB4B1A">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0E74A6C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lastRenderedPageBreak/>
        <w:t>Compensatória, para a inexecução total do contrato prevista na alínea “c” do subitem 1</w:t>
      </w:r>
      <w:r w:rsidR="00AB4B1A">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026C3F0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AB4B1A">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4B40B1AC"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AB4B1A">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1C958C9A"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AB4B1A">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FA2B67">
      <w:pPr>
        <w:pStyle w:val="PargrafodaLista"/>
        <w:widowControl/>
        <w:numPr>
          <w:ilvl w:val="2"/>
          <w:numId w:val="10"/>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FA2B67">
      <w:pPr>
        <w:pStyle w:val="PargrafodaLista"/>
        <w:widowControl/>
        <w:numPr>
          <w:ilvl w:val="2"/>
          <w:numId w:val="10"/>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FA2B67">
      <w:pPr>
        <w:pStyle w:val="PargrafodaLista"/>
        <w:widowControl/>
        <w:numPr>
          <w:ilvl w:val="2"/>
          <w:numId w:val="10"/>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FA2B67">
      <w:pPr>
        <w:pStyle w:val="PargrafodaLista"/>
        <w:widowControl/>
        <w:numPr>
          <w:ilvl w:val="2"/>
          <w:numId w:val="10"/>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xml:space="preserve">, serão apurados e julgados conjuntamente, nos </w:t>
      </w:r>
      <w:r w:rsidRPr="008C13A3">
        <w:rPr>
          <w:rFonts w:ascii="Arial" w:hAnsi="Arial" w:cs="Arial"/>
        </w:rPr>
        <w:lastRenderedPageBreak/>
        <w:t>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FA2B67">
      <w:pPr>
        <w:pStyle w:val="Nivel01"/>
        <w:numPr>
          <w:ilvl w:val="0"/>
          <w:numId w:val="10"/>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FA2B67">
      <w:pPr>
        <w:pStyle w:val="PargrafodaLista"/>
        <w:widowControl/>
        <w:numPr>
          <w:ilvl w:val="1"/>
          <w:numId w:val="10"/>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FA2B67">
      <w:pPr>
        <w:pStyle w:val="PargrafodaLista"/>
        <w:widowControl/>
        <w:numPr>
          <w:ilvl w:val="2"/>
          <w:numId w:val="10"/>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FA2B67">
      <w:pPr>
        <w:pStyle w:val="PargrafodaLista"/>
        <w:widowControl/>
        <w:numPr>
          <w:ilvl w:val="2"/>
          <w:numId w:val="10"/>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FA2B67">
      <w:pPr>
        <w:pStyle w:val="PargrafodaLista"/>
        <w:widowControl/>
        <w:numPr>
          <w:ilvl w:val="3"/>
          <w:numId w:val="10"/>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FA2B67">
      <w:pPr>
        <w:pStyle w:val="PargrafodaLista"/>
        <w:widowControl/>
        <w:numPr>
          <w:ilvl w:val="2"/>
          <w:numId w:val="10"/>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FA2B67">
      <w:pPr>
        <w:pStyle w:val="PargrafodaLista"/>
        <w:widowControl/>
        <w:numPr>
          <w:ilvl w:val="2"/>
          <w:numId w:val="10"/>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FA2B67">
      <w:pPr>
        <w:pStyle w:val="PargrafodaLista"/>
        <w:widowControl/>
        <w:numPr>
          <w:ilvl w:val="2"/>
          <w:numId w:val="10"/>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FA2B67">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7C6B8A3E" w:rsidR="002E43FD" w:rsidRDefault="002E43FD" w:rsidP="00FA2B67">
      <w:pPr>
        <w:pStyle w:val="Nivel01"/>
        <w:numPr>
          <w:ilvl w:val="0"/>
          <w:numId w:val="10"/>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64BB7DA0" w14:textId="06707248" w:rsidR="00AB4B1A" w:rsidRPr="00AB4B1A" w:rsidRDefault="00AB4B1A" w:rsidP="00AB4B1A">
      <w:pPr>
        <w:pStyle w:val="PargrafodaLista"/>
        <w:numPr>
          <w:ilvl w:val="1"/>
          <w:numId w:val="10"/>
        </w:numPr>
        <w:spacing w:line="323" w:lineRule="atLeast"/>
        <w:ind w:left="0" w:firstLine="0"/>
        <w:jc w:val="both"/>
        <w:rPr>
          <w:rFonts w:ascii="Arial" w:hAnsi="Arial" w:cs="Arial"/>
        </w:rPr>
      </w:pPr>
      <w:r w:rsidRPr="00AB4B1A">
        <w:rPr>
          <w:rFonts w:ascii="Arial" w:hAnsi="Arial" w:cs="Arial"/>
        </w:rPr>
        <w:t xml:space="preserve">- </w:t>
      </w:r>
      <w:r w:rsidRPr="00AB4B1A">
        <w:rPr>
          <w:rFonts w:ascii="Arial" w:hAnsi="Arial" w:cs="Arial"/>
        </w:rPr>
        <w:t>As despesas decorrentes da presente contratação correrão à conta de recursos específicos consignados no Orçamento do Município;</w:t>
      </w:r>
    </w:p>
    <w:p w14:paraId="39AC847E" w14:textId="0F2AEAD1" w:rsidR="00AB4B1A" w:rsidRPr="00AB4B1A" w:rsidRDefault="00AB4B1A" w:rsidP="00AB4B1A">
      <w:pPr>
        <w:pStyle w:val="PargrafodaLista"/>
        <w:numPr>
          <w:ilvl w:val="1"/>
          <w:numId w:val="10"/>
        </w:numPr>
        <w:spacing w:line="323" w:lineRule="atLeast"/>
        <w:ind w:left="0" w:firstLine="0"/>
        <w:jc w:val="both"/>
        <w:rPr>
          <w:rFonts w:ascii="Arial" w:hAnsi="Arial" w:cs="Arial"/>
        </w:rPr>
      </w:pPr>
      <w:r w:rsidRPr="00AB4B1A">
        <w:rPr>
          <w:rFonts w:ascii="Arial" w:hAnsi="Arial" w:cs="Arial"/>
        </w:rPr>
        <w:t xml:space="preserve">- </w:t>
      </w:r>
      <w:r w:rsidRPr="00AB4B1A">
        <w:rPr>
          <w:rFonts w:ascii="Arial" w:hAnsi="Arial" w:cs="Arial"/>
        </w:rPr>
        <w:t>A contratação será atendida pela seguinte dotação:</w:t>
      </w:r>
    </w:p>
    <w:p w14:paraId="49D6F3ED" w14:textId="3303CFAB" w:rsidR="00AB4B1A" w:rsidRPr="00AB4B1A" w:rsidRDefault="00AB4B1A" w:rsidP="00AB4B1A">
      <w:pPr>
        <w:pStyle w:val="PargrafodaLista"/>
        <w:numPr>
          <w:ilvl w:val="2"/>
          <w:numId w:val="12"/>
        </w:numPr>
        <w:spacing w:line="323" w:lineRule="atLeast"/>
        <w:ind w:left="0" w:firstLine="0"/>
        <w:jc w:val="both"/>
        <w:rPr>
          <w:rFonts w:ascii="Arial" w:hAnsi="Arial" w:cs="Arial"/>
        </w:rPr>
      </w:pPr>
      <w:r w:rsidRPr="00AB4B1A">
        <w:rPr>
          <w:rFonts w:ascii="Arial" w:hAnsi="Arial" w:cs="Arial"/>
        </w:rPr>
        <w:t xml:space="preserve">- </w:t>
      </w:r>
      <w:r w:rsidRPr="00AB4B1A">
        <w:rPr>
          <w:rFonts w:ascii="Arial" w:hAnsi="Arial" w:cs="Arial"/>
        </w:rPr>
        <w:t>Gestão/Unidade: Coord. Saúde Mental / Residências Terapêuticas;</w:t>
      </w:r>
    </w:p>
    <w:p w14:paraId="2403E29C" w14:textId="71678269" w:rsidR="00AB4B1A" w:rsidRPr="00AB4B1A" w:rsidRDefault="00AB4B1A" w:rsidP="00AB4B1A">
      <w:pPr>
        <w:pStyle w:val="PargrafodaLista"/>
        <w:numPr>
          <w:ilvl w:val="2"/>
          <w:numId w:val="12"/>
        </w:numPr>
        <w:spacing w:line="323" w:lineRule="atLeast"/>
        <w:ind w:left="0" w:firstLine="0"/>
        <w:jc w:val="both"/>
        <w:rPr>
          <w:rFonts w:ascii="Arial" w:hAnsi="Arial" w:cs="Arial"/>
        </w:rPr>
      </w:pPr>
      <w:r w:rsidRPr="00AB4B1A">
        <w:rPr>
          <w:rFonts w:ascii="Arial" w:hAnsi="Arial" w:cs="Arial"/>
        </w:rPr>
        <w:t xml:space="preserve"> - </w:t>
      </w:r>
      <w:r w:rsidRPr="00AB4B1A">
        <w:rPr>
          <w:rFonts w:ascii="Arial" w:hAnsi="Arial" w:cs="Arial"/>
        </w:rPr>
        <w:t xml:space="preserve">Fonte de Recursos: </w:t>
      </w:r>
      <w:r w:rsidRPr="00AB4B1A">
        <w:rPr>
          <w:rFonts w:ascii="Arial" w:hAnsi="Arial" w:cs="Arial"/>
          <w:b/>
          <w:bCs/>
        </w:rPr>
        <w:t>1600</w:t>
      </w:r>
      <w:r w:rsidRPr="00AB4B1A">
        <w:rPr>
          <w:rFonts w:ascii="Arial" w:hAnsi="Arial" w:cs="Arial"/>
        </w:rPr>
        <w:t>;</w:t>
      </w:r>
    </w:p>
    <w:p w14:paraId="16178D74" w14:textId="3082AD3B" w:rsidR="00AB4B1A" w:rsidRPr="00AB4B1A" w:rsidRDefault="00AB4B1A" w:rsidP="00AB4B1A">
      <w:pPr>
        <w:pStyle w:val="PargrafodaLista"/>
        <w:numPr>
          <w:ilvl w:val="2"/>
          <w:numId w:val="12"/>
        </w:numPr>
        <w:spacing w:line="323" w:lineRule="atLeast"/>
        <w:ind w:left="0" w:firstLine="0"/>
        <w:jc w:val="both"/>
        <w:rPr>
          <w:rFonts w:ascii="Arial" w:hAnsi="Arial" w:cs="Arial"/>
        </w:rPr>
      </w:pPr>
      <w:r w:rsidRPr="00AB4B1A">
        <w:rPr>
          <w:rFonts w:ascii="Arial" w:hAnsi="Arial" w:cs="Arial"/>
        </w:rPr>
        <w:t xml:space="preserve"> - </w:t>
      </w:r>
      <w:r w:rsidRPr="00AB4B1A">
        <w:rPr>
          <w:rFonts w:ascii="Arial" w:hAnsi="Arial" w:cs="Arial"/>
        </w:rPr>
        <w:t xml:space="preserve">Programa de Trabalho: </w:t>
      </w:r>
      <w:r w:rsidRPr="00AB4B1A">
        <w:rPr>
          <w:rFonts w:ascii="Arial" w:hAnsi="Arial" w:cs="Arial"/>
          <w:b/>
          <w:bCs/>
        </w:rPr>
        <w:t>30001.10.302.0083.2.198</w:t>
      </w:r>
      <w:r w:rsidRPr="00AB4B1A">
        <w:rPr>
          <w:rFonts w:ascii="Arial" w:hAnsi="Arial" w:cs="Arial"/>
        </w:rPr>
        <w:t>;</w:t>
      </w:r>
    </w:p>
    <w:p w14:paraId="1FD12241" w14:textId="77777777" w:rsidR="00AB4B1A" w:rsidRPr="00AB4B1A" w:rsidRDefault="00AB4B1A" w:rsidP="00AB4B1A">
      <w:pPr>
        <w:pStyle w:val="PargrafodaLista"/>
        <w:numPr>
          <w:ilvl w:val="2"/>
          <w:numId w:val="12"/>
        </w:numPr>
        <w:spacing w:line="323" w:lineRule="atLeast"/>
        <w:ind w:left="0" w:firstLine="0"/>
        <w:jc w:val="both"/>
        <w:rPr>
          <w:rFonts w:ascii="Arial" w:hAnsi="Arial" w:cs="Arial"/>
        </w:rPr>
      </w:pPr>
      <w:r w:rsidRPr="00AB4B1A">
        <w:rPr>
          <w:rFonts w:ascii="Arial" w:hAnsi="Arial" w:cs="Arial"/>
        </w:rPr>
        <w:t xml:space="preserve"> - </w:t>
      </w:r>
      <w:r w:rsidRPr="00AB4B1A">
        <w:rPr>
          <w:rFonts w:ascii="Arial" w:hAnsi="Arial" w:cs="Arial"/>
        </w:rPr>
        <w:t xml:space="preserve">Elemento de Despesa: </w:t>
      </w:r>
      <w:r w:rsidRPr="00AB4B1A">
        <w:rPr>
          <w:rFonts w:ascii="Arial" w:hAnsi="Arial" w:cs="Arial"/>
          <w:b/>
          <w:bCs/>
        </w:rPr>
        <w:t>33.90.30.23</w:t>
      </w:r>
      <w:r w:rsidRPr="00AB4B1A">
        <w:rPr>
          <w:rFonts w:ascii="Arial" w:hAnsi="Arial" w:cs="Arial"/>
        </w:rPr>
        <w:t>;</w:t>
      </w:r>
    </w:p>
    <w:p w14:paraId="3789E47C" w14:textId="0645DA9A" w:rsidR="00AB4B1A" w:rsidRPr="00AB4B1A" w:rsidRDefault="00AB4B1A" w:rsidP="00AB4B1A">
      <w:pPr>
        <w:pStyle w:val="PargrafodaLista"/>
        <w:numPr>
          <w:ilvl w:val="1"/>
          <w:numId w:val="12"/>
        </w:numPr>
        <w:spacing w:line="323" w:lineRule="atLeast"/>
        <w:ind w:left="0" w:firstLine="0"/>
        <w:jc w:val="both"/>
        <w:rPr>
          <w:rFonts w:ascii="Arial" w:hAnsi="Arial" w:cs="Arial"/>
        </w:rPr>
      </w:pPr>
      <w:r w:rsidRPr="00AB4B1A">
        <w:rPr>
          <w:rFonts w:ascii="Arial" w:hAnsi="Arial" w:cs="Arial"/>
        </w:rPr>
        <w:t xml:space="preserve">- </w:t>
      </w:r>
      <w:r w:rsidRPr="00AB4B1A">
        <w:rPr>
          <w:rFonts w:ascii="Arial" w:hAnsi="Arial" w:cs="Arial"/>
        </w:rPr>
        <w:t xml:space="preserve">As notas fiscais deverão ser emitidas em nome do </w:t>
      </w:r>
      <w:r w:rsidRPr="00AB4B1A">
        <w:rPr>
          <w:rFonts w:ascii="Arial" w:hAnsi="Arial" w:cs="Arial"/>
          <w:b/>
          <w:bCs/>
        </w:rPr>
        <w:t>FUNDO MUNICIPAL DE SAÚDE, CNPJ: 11.399.442/0001-79 – AVENIDA ALBERTO BRAUNE, Nº 224, SALA 221, CENTRO, NOVA FRIBURGO/RJ, CEP 28613-001</w:t>
      </w:r>
      <w:r w:rsidRPr="00AB4B1A">
        <w:rPr>
          <w:rFonts w:ascii="Arial" w:hAnsi="Arial" w:cs="Arial"/>
        </w:rPr>
        <w:t>.</w:t>
      </w:r>
    </w:p>
    <w:p w14:paraId="120C7BB4" w14:textId="303FAA04" w:rsidR="00D90EA5" w:rsidRPr="008C13A3" w:rsidRDefault="00D90EA5" w:rsidP="00AB4B1A">
      <w:pPr>
        <w:pStyle w:val="Nivel01"/>
        <w:numPr>
          <w:ilvl w:val="0"/>
          <w:numId w:val="12"/>
        </w:numPr>
        <w:tabs>
          <w:tab w:val="left" w:pos="284"/>
          <w:tab w:val="left" w:pos="993"/>
        </w:tabs>
        <w:spacing w:line="276" w:lineRule="auto"/>
        <w:ind w:left="0" w:firstLine="0"/>
        <w:rPr>
          <w:rFonts w:ascii="Arial" w:hAnsi="Arial" w:cs="Arial"/>
          <w:color w:val="FFFFFF" w:themeColor="background1"/>
          <w:sz w:val="22"/>
          <w:szCs w:val="22"/>
        </w:rPr>
      </w:pPr>
      <w:r w:rsidRPr="00AB4B1A">
        <w:rPr>
          <w:rFonts w:ascii="Arial" w:eastAsia="Verdana" w:hAnsi="Arial" w:cs="Arial"/>
          <w:sz w:val="22"/>
          <w:szCs w:val="22"/>
          <w:lang w:val="pt-PT" w:eastAsia="en-US"/>
        </w:rPr>
        <w:t>CLÁUSULA DÉCIMA</w:t>
      </w:r>
      <w:r w:rsidRPr="008C13A3">
        <w:rPr>
          <w:rFonts w:ascii="Arial" w:hAnsi="Arial" w:cs="Arial"/>
          <w:sz w:val="22"/>
          <w:szCs w:val="22"/>
        </w:rPr>
        <w:t xml:space="preserve">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AB4B1A">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w:t>
      </w:r>
      <w:r w:rsidRPr="008C13A3">
        <w:rPr>
          <w:rFonts w:ascii="Arial" w:hAnsi="Arial" w:cs="Arial"/>
        </w:rPr>
        <w:lastRenderedPageBreak/>
        <w:t xml:space="preserve">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AB4B1A">
      <w:pPr>
        <w:pStyle w:val="Nivel01"/>
        <w:numPr>
          <w:ilvl w:val="0"/>
          <w:numId w:val="1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AB4B1A">
      <w:pPr>
        <w:pStyle w:val="PargrafodaLista"/>
        <w:numPr>
          <w:ilvl w:val="1"/>
          <w:numId w:val="1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AB4B1A">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AB4B1A">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AB4B1A">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AB4B1A">
      <w:pPr>
        <w:pStyle w:val="Nivel010"/>
        <w:numPr>
          <w:ilvl w:val="0"/>
          <w:numId w:val="1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AB4B1A">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AB4B1A">
      <w:pPr>
        <w:pStyle w:val="Nivel010"/>
        <w:numPr>
          <w:ilvl w:val="0"/>
          <w:numId w:val="12"/>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AB4B1A" w:rsidRDefault="001D32DF" w:rsidP="00AB4B1A">
      <w:pPr>
        <w:pStyle w:val="PargrafodaLista"/>
        <w:numPr>
          <w:ilvl w:val="1"/>
          <w:numId w:val="1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w:t>
      </w:r>
      <w:r w:rsidRPr="00AB4B1A">
        <w:rPr>
          <w:rFonts w:ascii="Arial" w:hAnsi="Arial" w:cs="Arial"/>
        </w:rPr>
        <w:t xml:space="preserve">Termo de Contrato que não possam ser compostos pela conciliação, conforme art. </w:t>
      </w:r>
      <w:r w:rsidR="003E1F86" w:rsidRPr="00AB4B1A">
        <w:rPr>
          <w:rFonts w:ascii="Arial" w:hAnsi="Arial" w:cs="Arial"/>
          <w:lang w:val="pt-BR"/>
        </w:rPr>
        <w:t>92, §1º da Lei nº 14.133/21</w:t>
      </w:r>
      <w:r w:rsidR="0055035E" w:rsidRPr="00AB4B1A">
        <w:rPr>
          <w:rFonts w:ascii="Arial" w:hAnsi="Arial" w:cs="Arial"/>
          <w:lang w:val="pt-BR"/>
        </w:rPr>
        <w:t>.</w:t>
      </w:r>
    </w:p>
    <w:p w14:paraId="389D31E9" w14:textId="4A054268" w:rsidR="001D32DF" w:rsidRPr="008C13A3" w:rsidRDefault="001D32DF" w:rsidP="00AB4B1A">
      <w:pPr>
        <w:pStyle w:val="PargrafodaLista"/>
        <w:numPr>
          <w:ilvl w:val="1"/>
          <w:numId w:val="12"/>
        </w:numPr>
        <w:tabs>
          <w:tab w:val="left" w:pos="426"/>
        </w:tabs>
        <w:ind w:left="0" w:firstLine="0"/>
        <w:jc w:val="both"/>
        <w:rPr>
          <w:rFonts w:ascii="Arial" w:hAnsi="Arial" w:cs="Arial"/>
        </w:rPr>
      </w:pPr>
      <w:r w:rsidRPr="00AB4B1A">
        <w:rPr>
          <w:rFonts w:ascii="Arial" w:hAnsi="Arial" w:cs="Arial"/>
        </w:rPr>
        <w:t xml:space="preserve">Para firmeza e validade do pactuado, o presente Termo de Contrato foi lavrado em </w:t>
      </w:r>
      <w:r w:rsidR="00466BF6" w:rsidRPr="00AB4B1A">
        <w:rPr>
          <w:rFonts w:ascii="Arial" w:hAnsi="Arial" w:cs="Arial"/>
        </w:rPr>
        <w:t>03</w:t>
      </w:r>
      <w:r w:rsidRPr="00AB4B1A">
        <w:rPr>
          <w:rFonts w:ascii="Arial" w:hAnsi="Arial" w:cs="Arial"/>
        </w:rPr>
        <w:t xml:space="preserve"> (</w:t>
      </w:r>
      <w:r w:rsidR="00466BF6" w:rsidRPr="00AB4B1A">
        <w:rPr>
          <w:rFonts w:ascii="Arial" w:hAnsi="Arial" w:cs="Arial"/>
        </w:rPr>
        <w:t>três</w:t>
      </w:r>
      <w:r w:rsidRPr="00AB4B1A">
        <w:rPr>
          <w:rFonts w:ascii="Arial" w:hAnsi="Arial" w:cs="Arial"/>
        </w:rPr>
        <w:t xml:space="preserve">) vias de igual </w:t>
      </w:r>
      <w:r w:rsidRPr="008C13A3">
        <w:rPr>
          <w:rFonts w:ascii="Arial" w:hAnsi="Arial" w:cs="Arial"/>
        </w:rPr>
        <w:t xml:space="preserve">teor, que, depois de lido e achado em ordem, vai assinado pelos contraentes. </w:t>
      </w:r>
    </w:p>
    <w:p w14:paraId="01908919" w14:textId="1985D193"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AB4B1A">
        <w:rPr>
          <w:rFonts w:ascii="Arial" w:hAnsi="Arial" w:cs="Arial"/>
        </w:rPr>
        <w:t>24.</w:t>
      </w: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B161E4">
      <w:headerReference w:type="default" r:id="rId50"/>
      <w:footerReference w:type="default" r:id="rId51"/>
      <w:pgSz w:w="11910" w:h="16840"/>
      <w:pgMar w:top="1418" w:right="1418" w:bottom="1418" w:left="1418" w:header="568"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9D8F8" w14:textId="77777777" w:rsidR="00EB7B3E" w:rsidRDefault="00EB7B3E">
      <w:r>
        <w:separator/>
      </w:r>
    </w:p>
  </w:endnote>
  <w:endnote w:type="continuationSeparator" w:id="0">
    <w:p w14:paraId="55B3D501" w14:textId="77777777" w:rsidR="00EB7B3E" w:rsidRDefault="00EB7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67338845"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2523-1113</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39D44" w14:textId="77777777" w:rsidR="00EB7B3E" w:rsidRDefault="00EB7B3E">
      <w:r>
        <w:separator/>
      </w:r>
    </w:p>
  </w:footnote>
  <w:footnote w:type="continuationSeparator" w:id="0">
    <w:p w14:paraId="4A9F4AD7" w14:textId="77777777" w:rsidR="00EB7B3E" w:rsidRDefault="00EB7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11F92" w14:textId="45D0249E" w:rsidR="00B161E4" w:rsidRDefault="00B161E4" w:rsidP="00B161E4">
    <w:pPr>
      <w:pStyle w:val="Cabealho"/>
      <w:ind w:left="142" w:hanging="284"/>
      <w:rPr>
        <w:rFonts w:ascii="Times New Roman" w:eastAsia="Times New Roman" w:hAnsi="Times New Roman" w:cs="Times New Roman"/>
        <w:sz w:val="24"/>
        <w:szCs w:val="20"/>
        <w:lang w:val="pt-BR" w:eastAsia="pt-BR"/>
      </w:rPr>
    </w:pPr>
    <w:r>
      <w:rPr>
        <w:noProof/>
        <w:sz w:val="24"/>
      </w:rPr>
      <mc:AlternateContent>
        <mc:Choice Requires="wps">
          <w:drawing>
            <wp:anchor distT="0" distB="0" distL="114300" distR="114300" simplePos="0" relativeHeight="251658240" behindDoc="1" locked="0" layoutInCell="1" allowOverlap="1" wp14:anchorId="55E23073" wp14:editId="312DD1A3">
              <wp:simplePos x="0" y="0"/>
              <wp:positionH relativeFrom="column">
                <wp:posOffset>4170045</wp:posOffset>
              </wp:positionH>
              <wp:positionV relativeFrom="paragraph">
                <wp:posOffset>169545</wp:posOffset>
              </wp:positionV>
              <wp:extent cx="1883410" cy="568325"/>
              <wp:effectExtent l="0" t="0" r="21590" b="2222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3410" cy="568325"/>
                      </a:xfrm>
                      <a:prstGeom prst="rect">
                        <a:avLst/>
                      </a:prstGeom>
                      <a:solidFill>
                        <a:srgbClr val="FFFFFF"/>
                      </a:solidFill>
                      <a:ln w="9360">
                        <a:solidFill>
                          <a:srgbClr val="000000"/>
                        </a:solidFill>
                        <a:round/>
                      </a:ln>
                      <a:effectLst/>
                    </wps:spPr>
                    <wps:txbx>
                      <w:txbxContent>
                        <w:p w14:paraId="28EA080E" w14:textId="77777777" w:rsidR="00B161E4" w:rsidRDefault="00B161E4" w:rsidP="00B161E4">
                          <w:pPr>
                            <w:pStyle w:val="SemEspaamento"/>
                          </w:pPr>
                          <w:r>
                            <w:rPr>
                              <w:rFonts w:cs="Calibri"/>
                              <w:sz w:val="20"/>
                              <w:szCs w:val="20"/>
                            </w:rPr>
                            <w:t>PROCESSO Nº: 31.588/2023</w:t>
                          </w:r>
                        </w:p>
                        <w:p w14:paraId="3543C127" w14:textId="77777777" w:rsidR="00B161E4" w:rsidRDefault="00B161E4" w:rsidP="00B161E4">
                          <w:pPr>
                            <w:pStyle w:val="SemEspaamento"/>
                          </w:pPr>
                        </w:p>
                        <w:p w14:paraId="0355B443" w14:textId="77777777" w:rsidR="00B161E4" w:rsidRDefault="00B161E4" w:rsidP="00B161E4">
                          <w:pPr>
                            <w:pStyle w:val="SemEspaamento"/>
                          </w:pPr>
                          <w:r>
                            <w:rPr>
                              <w:rFonts w:cs="Calibri"/>
                              <w:sz w:val="20"/>
                              <w:szCs w:val="20"/>
                            </w:rPr>
                            <w:t xml:space="preserve">RUBRICA:______FOLHA:______ </w:t>
                          </w:r>
                          <w:r>
                            <w:rPr>
                              <w:sz w:val="20"/>
                              <w:szCs w:val="20"/>
                            </w:rPr>
                            <w:t>______</w:t>
                          </w:r>
                        </w:p>
                      </w:txbxContent>
                    </wps:txbx>
                    <wps:bodyPr vertOverflow="clip" horzOverflow="clip">
                      <a:noAutofit/>
                    </wps:bodyPr>
                  </wps:wsp>
                </a:graphicData>
              </a:graphic>
              <wp14:sizeRelH relativeFrom="page">
                <wp14:pctWidth>0</wp14:pctWidth>
              </wp14:sizeRelH>
              <wp14:sizeRelV relativeFrom="page">
                <wp14:pctHeight>0</wp14:pctHeight>
              </wp14:sizeRelV>
            </wp:anchor>
          </w:drawing>
        </mc:Choice>
        <mc:Fallback>
          <w:pict>
            <v:rect w14:anchorId="55E23073" id="Retângulo 4" o:spid="_x0000_s1026" style="position:absolute;left:0;text-align:left;margin-left:328.35pt;margin-top:13.35pt;width:148.3pt;height:4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" strokeweight=".26mm">
              <v:stroke joinstyle="round"/>
              <v:path arrowok="t"/>
              <v:textbox>
                <w:txbxContent>
                  <w:p w14:paraId="28EA080E" w14:textId="77777777" w:rsidR="00B161E4" w:rsidRDefault="00B161E4" w:rsidP="00B161E4">
                    <w:pPr>
                      <w:pStyle w:val="SemEspaamento"/>
                    </w:pPr>
                    <w:r>
                      <w:rPr>
                        <w:rFonts w:cs="Calibri"/>
                        <w:sz w:val="20"/>
                        <w:szCs w:val="20"/>
                      </w:rPr>
                      <w:t>PROCESSO Nº: 31.588/2023</w:t>
                    </w:r>
                  </w:p>
                  <w:p w14:paraId="3543C127" w14:textId="77777777" w:rsidR="00B161E4" w:rsidRDefault="00B161E4" w:rsidP="00B161E4">
                    <w:pPr>
                      <w:pStyle w:val="SemEspaamento"/>
                    </w:pPr>
                  </w:p>
                  <w:p w14:paraId="0355B443" w14:textId="77777777" w:rsidR="00B161E4" w:rsidRDefault="00B161E4" w:rsidP="00B161E4">
                    <w:pPr>
                      <w:pStyle w:val="SemEspaamento"/>
                    </w:pPr>
                    <w:r>
                      <w:rPr>
                        <w:rFonts w:cs="Calibri"/>
                        <w:sz w:val="20"/>
                        <w:szCs w:val="20"/>
                      </w:rPr>
                      <w:t xml:space="preserve">RUBRICA:______FOLHA:______ </w:t>
                    </w:r>
                    <w:r>
                      <w:rPr>
                        <w:sz w:val="20"/>
                        <w:szCs w:val="20"/>
                      </w:rPr>
                      <w:t>______</w:t>
                    </w:r>
                  </w:p>
                </w:txbxContent>
              </v:textbox>
            </v:rect>
          </w:pict>
        </mc:Fallback>
      </mc:AlternateContent>
    </w:r>
    <w:r>
      <w:rPr>
        <w:noProof/>
      </w:rPr>
      <w:drawing>
        <wp:inline distT="0" distB="0" distL="0" distR="0" wp14:anchorId="61698A43" wp14:editId="7F709D74">
          <wp:extent cx="3819525" cy="98107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9525" cy="981075"/>
                  </a:xfrm>
                  <a:prstGeom prst="rect">
                    <a:avLst/>
                  </a:prstGeom>
                  <a:noFill/>
                  <a:ln>
                    <a:noFill/>
                  </a:ln>
                </pic:spPr>
              </pic:pic>
            </a:graphicData>
          </a:graphic>
        </wp:inline>
      </w:drawing>
    </w:r>
  </w:p>
  <w:p w14:paraId="3408BB34" w14:textId="218F07FC" w:rsidR="008743A2" w:rsidRDefault="008743A2" w:rsidP="00BB408F"/>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25667E54"/>
    <w:multiLevelType w:val="multilevel"/>
    <w:tmpl w:val="A27C026E"/>
    <w:lvl w:ilvl="0">
      <w:start w:val="13"/>
      <w:numFmt w:val="decimal"/>
      <w:lvlText w:val="%1"/>
      <w:lvlJc w:val="left"/>
      <w:pPr>
        <w:ind w:left="750" w:hanging="750"/>
      </w:pPr>
      <w:rPr>
        <w:rFonts w:hint="default"/>
        <w:b/>
        <w:bCs/>
        <w:color w:val="auto"/>
      </w:rPr>
    </w:lvl>
    <w:lvl w:ilvl="1">
      <w:start w:val="2"/>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2EC86330"/>
    <w:multiLevelType w:val="multilevel"/>
    <w:tmpl w:val="F21A54FC"/>
    <w:lvl w:ilvl="0">
      <w:start w:val="6"/>
      <w:numFmt w:val="decimal"/>
      <w:lvlText w:val="%1."/>
      <w:lvlJc w:val="left"/>
      <w:pPr>
        <w:ind w:left="705" w:hanging="705"/>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1080" w:hanging="108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440" w:hanging="1440"/>
      </w:pPr>
      <w:rPr>
        <w:rFonts w:cs="Arial" w:hint="default"/>
      </w:rPr>
    </w:lvl>
    <w:lvl w:ilvl="5">
      <w:start w:val="1"/>
      <w:numFmt w:val="decimal"/>
      <w:lvlText w:val="%1.%2.%3-%4.%5.%6."/>
      <w:lvlJc w:val="left"/>
      <w:pPr>
        <w:ind w:left="1800" w:hanging="1800"/>
      </w:pPr>
      <w:rPr>
        <w:rFonts w:cs="Arial" w:hint="default"/>
      </w:rPr>
    </w:lvl>
    <w:lvl w:ilvl="6">
      <w:start w:val="1"/>
      <w:numFmt w:val="decimal"/>
      <w:lvlText w:val="%1.%2.%3-%4.%5.%6.%7."/>
      <w:lvlJc w:val="left"/>
      <w:pPr>
        <w:ind w:left="2160" w:hanging="2160"/>
      </w:pPr>
      <w:rPr>
        <w:rFonts w:cs="Arial" w:hint="default"/>
      </w:rPr>
    </w:lvl>
    <w:lvl w:ilvl="7">
      <w:start w:val="1"/>
      <w:numFmt w:val="decimal"/>
      <w:lvlText w:val="%1.%2.%3-%4.%5.%6.%7.%8."/>
      <w:lvlJc w:val="left"/>
      <w:pPr>
        <w:ind w:left="2160" w:hanging="2160"/>
      </w:pPr>
      <w:rPr>
        <w:rFonts w:cs="Arial" w:hint="default"/>
      </w:rPr>
    </w:lvl>
    <w:lvl w:ilvl="8">
      <w:start w:val="1"/>
      <w:numFmt w:val="decimal"/>
      <w:lvlText w:val="%1.%2.%3-%4.%5.%6.%7.%8.%9."/>
      <w:lvlJc w:val="left"/>
      <w:pPr>
        <w:ind w:left="2520" w:hanging="2520"/>
      </w:pPr>
      <w:rPr>
        <w:rFonts w:cs="Arial" w:hint="default"/>
      </w:rPr>
    </w:lvl>
  </w:abstractNum>
  <w:abstractNum w:abstractNumId="9"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589F23C9"/>
    <w:multiLevelType w:val="multilevel"/>
    <w:tmpl w:val="99B2AAB2"/>
    <w:lvl w:ilvl="0">
      <w:start w:val="3"/>
      <w:numFmt w:val="decimal"/>
      <w:lvlText w:val="%1"/>
      <w:lvlJc w:val="left"/>
      <w:pPr>
        <w:ind w:left="480" w:hanging="480"/>
      </w:pPr>
      <w:rPr>
        <w:rFonts w:hint="default"/>
        <w:color w:val="auto"/>
      </w:rPr>
    </w:lvl>
    <w:lvl w:ilvl="1">
      <w:start w:val="1"/>
      <w:numFmt w:val="decimal"/>
      <w:lvlText w:val="%1.%2"/>
      <w:lvlJc w:val="left"/>
      <w:pPr>
        <w:ind w:left="551" w:hanging="480"/>
      </w:pPr>
      <w:rPr>
        <w:rFonts w:hint="default"/>
        <w:i w:val="0"/>
        <w:iCs/>
        <w:color w:val="auto"/>
      </w:rPr>
    </w:lvl>
    <w:lvl w:ilvl="2">
      <w:start w:val="5"/>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11"/>
  </w:num>
  <w:num w:numId="7">
    <w:abstractNumId w:val="3"/>
  </w:num>
  <w:num w:numId="8">
    <w:abstractNumId w:val="9"/>
  </w:num>
  <w:num w:numId="9">
    <w:abstractNumId w:val="6"/>
  </w:num>
  <w:num w:numId="10">
    <w:abstractNumId w:val="10"/>
  </w:num>
  <w:num w:numId="11">
    <w:abstractNumId w:val="8"/>
  </w:num>
  <w:num w:numId="1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504B"/>
    <w:rsid w:val="00296174"/>
    <w:rsid w:val="002A4753"/>
    <w:rsid w:val="002A5731"/>
    <w:rsid w:val="002A7071"/>
    <w:rsid w:val="002B28F4"/>
    <w:rsid w:val="002B3DAB"/>
    <w:rsid w:val="002C7EF3"/>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135A"/>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13A3"/>
    <w:rsid w:val="008C31C2"/>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B4B1A"/>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61E4"/>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B7B3E"/>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2B67"/>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16345347">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13</Pages>
  <Words>5173</Words>
  <Characters>27938</Characters>
  <Application>Microsoft Office Word</Application>
  <DocSecurity>0</DocSecurity>
  <Lines>232</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37</cp:revision>
  <cp:lastPrinted>2023-08-22T17:19:00Z</cp:lastPrinted>
  <dcterms:created xsi:type="dcterms:W3CDTF">2023-08-18T18:10:00Z</dcterms:created>
  <dcterms:modified xsi:type="dcterms:W3CDTF">2024-01-17T19:12:00Z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